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77A389BE" w:rsidR="00CE6C34" w:rsidRDefault="002309A9" w:rsidP="00CE6C34">
      <w:pPr>
        <w:pStyle w:val="Dachzeile"/>
      </w:pPr>
      <w:r w:rsidRPr="002309A9">
        <w:t xml:space="preserve">Prioritätsmatrizen helfen </w:t>
      </w:r>
      <w:r w:rsidR="00CC2F84">
        <w:t xml:space="preserve">Unternehmen </w:t>
      </w:r>
      <w:r w:rsidRPr="002309A9">
        <w:t>bei der Bewertung von Innovationen</w:t>
      </w:r>
    </w:p>
    <w:p w14:paraId="3FCE1934" w14:textId="3D8D9381" w:rsidR="00CE6C34" w:rsidRPr="009D229B" w:rsidRDefault="00CE6C34" w:rsidP="00CE6C34">
      <w:pPr>
        <w:pStyle w:val="Titel-Subline"/>
      </w:pPr>
      <w:r w:rsidRPr="009D229B">
        <w:br/>
      </w:r>
      <w:r w:rsidR="0006391A" w:rsidRPr="009D229B">
        <w:t>iTAC</w:t>
      </w:r>
      <w:r w:rsidR="00E21114" w:rsidRPr="009D229B">
        <w:t xml:space="preserve"> im </w:t>
      </w:r>
      <w:r w:rsidR="009D229B">
        <w:t>„</w:t>
      </w:r>
      <w:r w:rsidR="00E21114" w:rsidRPr="009D229B">
        <w:t>Gartner Hype Cycle 2024”</w:t>
      </w:r>
      <w:r w:rsidR="0006391A" w:rsidRPr="009D229B">
        <w:t xml:space="preserve"> </w:t>
      </w:r>
      <w:r w:rsidR="00AE2AA7" w:rsidRPr="009D229B">
        <w:t>als Sampl</w:t>
      </w:r>
      <w:r w:rsidR="006A04EC" w:rsidRPr="009D229B">
        <w:t>e</w:t>
      </w:r>
      <w:r w:rsidR="00AE2AA7" w:rsidRPr="009D229B">
        <w:t xml:space="preserve"> Vendor für</w:t>
      </w:r>
      <w:r w:rsidR="0006391A" w:rsidRPr="009D229B">
        <w:t xml:space="preserve"> „Composite </w:t>
      </w:r>
      <w:proofErr w:type="spellStart"/>
      <w:r w:rsidR="00E21114" w:rsidRPr="009D229B">
        <w:t>A</w:t>
      </w:r>
      <w:r w:rsidR="0006391A" w:rsidRPr="009D229B">
        <w:t>pplications</w:t>
      </w:r>
      <w:proofErr w:type="spellEnd"/>
      <w:r w:rsidR="0006391A" w:rsidRPr="009D229B">
        <w:t>“</w:t>
      </w:r>
      <w:r w:rsidR="00E21114" w:rsidRPr="009D229B">
        <w:t xml:space="preserve"> positioniert</w:t>
      </w:r>
    </w:p>
    <w:p w14:paraId="60A9AD97" w14:textId="72235627" w:rsidR="00CE6C34" w:rsidRPr="0018098D" w:rsidRDefault="00CE6C34" w:rsidP="00AE2AA7">
      <w:pPr>
        <w:pStyle w:val="Flietext"/>
        <w:rPr>
          <w:rFonts w:asciiTheme="majorHAnsi" w:eastAsia="Times New Roman" w:hAnsiTheme="majorHAnsi" w:cstheme="majorBidi"/>
          <w:b/>
          <w:bCs/>
          <w:color w:val="auto"/>
          <w:szCs w:val="22"/>
          <w:lang w:eastAsia="de-DE"/>
        </w:rPr>
      </w:pPr>
      <w:r w:rsidRPr="009D229B">
        <w:rPr>
          <w:rStyle w:val="Fettung"/>
          <w:szCs w:val="22"/>
        </w:rPr>
        <w:t xml:space="preserve">Montabaur, </w:t>
      </w:r>
      <w:r w:rsidR="0048606D">
        <w:rPr>
          <w:rStyle w:val="Fettung"/>
          <w:szCs w:val="22"/>
        </w:rPr>
        <w:t>6</w:t>
      </w:r>
      <w:r w:rsidRPr="009D229B">
        <w:rPr>
          <w:rStyle w:val="Fettung"/>
          <w:szCs w:val="22"/>
        </w:rPr>
        <w:t xml:space="preserve">. </w:t>
      </w:r>
      <w:r w:rsidR="00ED7DB5" w:rsidRPr="00E732A0">
        <w:rPr>
          <w:rStyle w:val="Fettung"/>
          <w:szCs w:val="22"/>
        </w:rPr>
        <w:t xml:space="preserve">August </w:t>
      </w:r>
      <w:r w:rsidRPr="00E732A0">
        <w:rPr>
          <w:rStyle w:val="Fettung"/>
          <w:szCs w:val="22"/>
        </w:rPr>
        <w:t>2024 –</w:t>
      </w:r>
      <w:r w:rsidR="0006391A" w:rsidRPr="00E732A0">
        <w:rPr>
          <w:rFonts w:asciiTheme="majorHAnsi" w:eastAsia="Times New Roman" w:hAnsiTheme="majorHAnsi" w:cstheme="majorBidi"/>
          <w:b/>
          <w:bCs/>
          <w:color w:val="auto"/>
          <w:szCs w:val="22"/>
          <w:lang w:eastAsia="de-DE"/>
        </w:rPr>
        <w:t xml:space="preserve"> </w:t>
      </w:r>
      <w:r w:rsidRPr="00E732A0">
        <w:rPr>
          <w:rFonts w:asciiTheme="majorHAnsi" w:eastAsia="Times New Roman" w:hAnsiTheme="majorHAnsi" w:cstheme="majorBidi"/>
          <w:b/>
          <w:bCs/>
          <w:color w:val="auto"/>
          <w:szCs w:val="22"/>
          <w:lang w:eastAsia="de-DE"/>
        </w:rPr>
        <w:t>iTAC (</w:t>
      </w:r>
      <w:hyperlink r:id="rId12" w:tgtFrame="_new" w:history="1">
        <w:r w:rsidRPr="00E732A0">
          <w:rPr>
            <w:rStyle w:val="Hyperlink"/>
            <w:rFonts w:asciiTheme="majorHAnsi" w:eastAsia="Times New Roman" w:hAnsiTheme="majorHAnsi" w:cstheme="majorBidi"/>
            <w:b/>
            <w:bCs/>
            <w:szCs w:val="22"/>
            <w:lang w:eastAsia="de-DE"/>
          </w:rPr>
          <w:t>www.itacsoftware.com</w:t>
        </w:r>
      </w:hyperlink>
      <w:r w:rsidRPr="00E732A0">
        <w:rPr>
          <w:rFonts w:asciiTheme="majorHAnsi" w:eastAsia="Times New Roman" w:hAnsiTheme="majorHAnsi" w:cstheme="majorBidi"/>
          <w:b/>
          <w:bCs/>
          <w:color w:val="auto"/>
          <w:szCs w:val="22"/>
          <w:lang w:eastAsia="de-DE"/>
        </w:rPr>
        <w:t>)</w:t>
      </w:r>
      <w:r w:rsidR="0006391A" w:rsidRPr="00E732A0">
        <w:rPr>
          <w:rFonts w:asciiTheme="majorHAnsi" w:eastAsia="Times New Roman" w:hAnsiTheme="majorHAnsi" w:cstheme="majorBidi"/>
          <w:b/>
          <w:bCs/>
          <w:color w:val="auto"/>
          <w:szCs w:val="22"/>
          <w:lang w:eastAsia="de-DE"/>
        </w:rPr>
        <w:t xml:space="preserve"> </w:t>
      </w:r>
      <w:r w:rsidR="001171F1" w:rsidRPr="00E732A0">
        <w:rPr>
          <w:rFonts w:asciiTheme="majorHAnsi" w:eastAsia="Times New Roman" w:hAnsiTheme="majorHAnsi" w:cstheme="majorBidi"/>
          <w:b/>
          <w:bCs/>
          <w:color w:val="auto"/>
          <w:szCs w:val="22"/>
          <w:lang w:eastAsia="de-DE"/>
        </w:rPr>
        <w:t>ist</w:t>
      </w:r>
      <w:r w:rsidR="0006391A" w:rsidRPr="00E732A0">
        <w:rPr>
          <w:rFonts w:asciiTheme="majorHAnsi" w:eastAsia="Times New Roman" w:hAnsiTheme="majorHAnsi" w:cstheme="majorBidi"/>
          <w:b/>
          <w:bCs/>
          <w:color w:val="auto"/>
          <w:szCs w:val="22"/>
          <w:lang w:eastAsia="de-DE"/>
        </w:rPr>
        <w:t xml:space="preserve"> im „</w:t>
      </w:r>
      <w:r w:rsidR="00E21114" w:rsidRPr="00E732A0">
        <w:rPr>
          <w:rFonts w:asciiTheme="majorHAnsi" w:eastAsia="Times New Roman" w:hAnsiTheme="majorHAnsi" w:cstheme="majorBidi"/>
          <w:b/>
          <w:bCs/>
          <w:color w:val="auto"/>
          <w:szCs w:val="22"/>
          <w:lang w:eastAsia="de-DE"/>
        </w:rPr>
        <w:t xml:space="preserve">Gartner® Hype Cycle™ </w:t>
      </w:r>
      <w:proofErr w:type="spellStart"/>
      <w:r w:rsidR="0006391A" w:rsidRPr="00E732A0">
        <w:rPr>
          <w:rFonts w:asciiTheme="majorHAnsi" w:eastAsia="Times New Roman" w:hAnsiTheme="majorHAnsi" w:cstheme="majorBidi"/>
          <w:b/>
          <w:bCs/>
          <w:color w:val="auto"/>
          <w:szCs w:val="22"/>
          <w:lang w:eastAsia="de-DE"/>
        </w:rPr>
        <w:t>for</w:t>
      </w:r>
      <w:proofErr w:type="spellEnd"/>
      <w:r w:rsidR="0006391A" w:rsidRPr="00E732A0">
        <w:rPr>
          <w:rFonts w:asciiTheme="majorHAnsi" w:eastAsia="Times New Roman" w:hAnsiTheme="majorHAnsi" w:cstheme="majorBidi"/>
          <w:b/>
          <w:bCs/>
          <w:color w:val="auto"/>
          <w:szCs w:val="22"/>
          <w:lang w:eastAsia="de-DE"/>
        </w:rPr>
        <w:t xml:space="preserve"> Revenue and Sales Technology</w:t>
      </w:r>
      <w:r w:rsidR="00E21114" w:rsidRPr="00E732A0">
        <w:rPr>
          <w:rFonts w:asciiTheme="majorHAnsi" w:eastAsia="Times New Roman" w:hAnsiTheme="majorHAnsi" w:cstheme="majorBidi"/>
          <w:b/>
          <w:bCs/>
          <w:color w:val="auto"/>
          <w:szCs w:val="22"/>
          <w:lang w:eastAsia="de-DE"/>
        </w:rPr>
        <w:t>,</w:t>
      </w:r>
      <w:r w:rsidR="0006391A" w:rsidRPr="00E732A0">
        <w:rPr>
          <w:rFonts w:asciiTheme="majorHAnsi" w:eastAsia="Times New Roman" w:hAnsiTheme="majorHAnsi" w:cstheme="majorBidi"/>
          <w:b/>
          <w:bCs/>
          <w:color w:val="auto"/>
          <w:szCs w:val="22"/>
          <w:lang w:eastAsia="de-DE"/>
        </w:rPr>
        <w:t xml:space="preserve"> 2024” als Sa</w:t>
      </w:r>
      <w:r w:rsidR="00AE2AA7" w:rsidRPr="00E732A0">
        <w:rPr>
          <w:rFonts w:asciiTheme="majorHAnsi" w:eastAsia="Times New Roman" w:hAnsiTheme="majorHAnsi" w:cstheme="majorBidi"/>
          <w:b/>
          <w:bCs/>
          <w:color w:val="auto"/>
          <w:szCs w:val="22"/>
          <w:lang w:eastAsia="de-DE"/>
        </w:rPr>
        <w:t>mple</w:t>
      </w:r>
      <w:r w:rsidR="0006391A" w:rsidRPr="00E732A0">
        <w:rPr>
          <w:rFonts w:asciiTheme="majorHAnsi" w:eastAsia="Times New Roman" w:hAnsiTheme="majorHAnsi" w:cstheme="majorBidi"/>
          <w:b/>
          <w:bCs/>
          <w:color w:val="auto"/>
          <w:szCs w:val="22"/>
          <w:lang w:eastAsia="de-DE"/>
        </w:rPr>
        <w:t xml:space="preserve"> Vendor in der Kategorie „Composite </w:t>
      </w:r>
      <w:proofErr w:type="spellStart"/>
      <w:r w:rsidR="00ED7DB5" w:rsidRPr="00E732A0">
        <w:rPr>
          <w:rFonts w:asciiTheme="majorHAnsi" w:eastAsia="Times New Roman" w:hAnsiTheme="majorHAnsi" w:cstheme="majorBidi"/>
          <w:b/>
          <w:bCs/>
          <w:color w:val="auto"/>
          <w:szCs w:val="22"/>
          <w:lang w:eastAsia="de-DE"/>
        </w:rPr>
        <w:t>A</w:t>
      </w:r>
      <w:r w:rsidR="0006391A" w:rsidRPr="00E732A0">
        <w:rPr>
          <w:rFonts w:asciiTheme="majorHAnsi" w:eastAsia="Times New Roman" w:hAnsiTheme="majorHAnsi" w:cstheme="majorBidi"/>
          <w:b/>
          <w:bCs/>
          <w:color w:val="auto"/>
          <w:szCs w:val="22"/>
          <w:lang w:eastAsia="de-DE"/>
        </w:rPr>
        <w:t>pplications</w:t>
      </w:r>
      <w:proofErr w:type="spellEnd"/>
      <w:r w:rsidR="0006391A" w:rsidRPr="00E732A0">
        <w:rPr>
          <w:rFonts w:asciiTheme="majorHAnsi" w:eastAsia="Times New Roman" w:hAnsiTheme="majorHAnsi" w:cstheme="majorBidi"/>
          <w:b/>
          <w:bCs/>
          <w:color w:val="auto"/>
          <w:szCs w:val="22"/>
          <w:lang w:eastAsia="de-DE"/>
        </w:rPr>
        <w:t xml:space="preserve">“ </w:t>
      </w:r>
      <w:r w:rsidR="00AE7869" w:rsidRPr="00E732A0">
        <w:rPr>
          <w:rFonts w:asciiTheme="majorHAnsi" w:eastAsia="Times New Roman" w:hAnsiTheme="majorHAnsi" w:cstheme="majorBidi"/>
          <w:b/>
          <w:bCs/>
          <w:color w:val="auto"/>
          <w:szCs w:val="22"/>
          <w:lang w:eastAsia="de-DE"/>
        </w:rPr>
        <w:t>platziert</w:t>
      </w:r>
      <w:r w:rsidR="00AE2AA7" w:rsidRPr="00E732A0">
        <w:rPr>
          <w:rFonts w:asciiTheme="majorHAnsi" w:eastAsia="Times New Roman" w:hAnsiTheme="majorHAnsi" w:cstheme="majorBidi"/>
          <w:b/>
          <w:bCs/>
          <w:color w:val="auto"/>
          <w:szCs w:val="22"/>
          <w:lang w:eastAsia="de-DE"/>
        </w:rPr>
        <w:t xml:space="preserve">. </w:t>
      </w:r>
      <w:r w:rsidR="00AE2AA7" w:rsidRPr="0018098D">
        <w:rPr>
          <w:rFonts w:asciiTheme="majorHAnsi" w:eastAsia="Times New Roman" w:hAnsiTheme="majorHAnsi" w:cstheme="majorBidi"/>
          <w:b/>
          <w:bCs/>
          <w:color w:val="auto"/>
          <w:szCs w:val="22"/>
          <w:lang w:eastAsia="de-DE"/>
        </w:rPr>
        <w:t xml:space="preserve">Die Gartner Hype </w:t>
      </w:r>
      <w:proofErr w:type="spellStart"/>
      <w:r w:rsidR="00AE2AA7" w:rsidRPr="0018098D">
        <w:rPr>
          <w:rFonts w:asciiTheme="majorHAnsi" w:eastAsia="Times New Roman" w:hAnsiTheme="majorHAnsi" w:cstheme="majorBidi"/>
          <w:b/>
          <w:bCs/>
          <w:color w:val="auto"/>
          <w:szCs w:val="22"/>
          <w:lang w:eastAsia="de-DE"/>
        </w:rPr>
        <w:t>Cycles</w:t>
      </w:r>
      <w:proofErr w:type="spellEnd"/>
      <w:r w:rsidR="00AE2AA7" w:rsidRPr="0018098D">
        <w:rPr>
          <w:rFonts w:asciiTheme="majorHAnsi" w:eastAsia="Times New Roman" w:hAnsiTheme="majorHAnsi" w:cstheme="majorBidi"/>
          <w:b/>
          <w:bCs/>
          <w:color w:val="auto"/>
          <w:szCs w:val="22"/>
          <w:lang w:eastAsia="de-DE"/>
        </w:rPr>
        <w:t xml:space="preserve"> sind grafische Darstellungen des Reifegrads, der Relevanz und Akzeptanzrate von aufkommenden und etablierten Innova</w:t>
      </w:r>
      <w:r w:rsidR="0048606D">
        <w:rPr>
          <w:rFonts w:asciiTheme="majorHAnsi" w:eastAsia="Times New Roman" w:hAnsiTheme="majorHAnsi" w:cstheme="majorBidi"/>
          <w:b/>
          <w:bCs/>
          <w:color w:val="auto"/>
          <w:szCs w:val="22"/>
          <w:lang w:eastAsia="de-DE"/>
        </w:rPr>
        <w:softHyphen/>
      </w:r>
      <w:r w:rsidR="00AE2AA7" w:rsidRPr="0018098D">
        <w:rPr>
          <w:rFonts w:asciiTheme="majorHAnsi" w:eastAsia="Times New Roman" w:hAnsiTheme="majorHAnsi" w:cstheme="majorBidi"/>
          <w:b/>
          <w:bCs/>
          <w:color w:val="auto"/>
          <w:szCs w:val="22"/>
          <w:lang w:eastAsia="de-DE"/>
        </w:rPr>
        <w:t xml:space="preserve">tionen. </w:t>
      </w:r>
      <w:r w:rsidR="00CC2F84" w:rsidRPr="0018098D">
        <w:rPr>
          <w:rFonts w:asciiTheme="majorHAnsi" w:eastAsia="Times New Roman" w:hAnsiTheme="majorHAnsi" w:cstheme="majorBidi"/>
          <w:b/>
          <w:bCs/>
          <w:color w:val="auto"/>
          <w:szCs w:val="22"/>
          <w:lang w:eastAsia="de-DE"/>
        </w:rPr>
        <w:t>Unternehmen</w:t>
      </w:r>
      <w:r w:rsidR="00AE2AA7" w:rsidRPr="0018098D">
        <w:rPr>
          <w:rFonts w:asciiTheme="majorHAnsi" w:eastAsia="Times New Roman" w:hAnsiTheme="majorHAnsi" w:cstheme="majorBidi"/>
          <w:b/>
          <w:bCs/>
          <w:color w:val="auto"/>
          <w:szCs w:val="22"/>
          <w:lang w:eastAsia="de-DE"/>
        </w:rPr>
        <w:t xml:space="preserve"> können die Hype </w:t>
      </w:r>
      <w:proofErr w:type="spellStart"/>
      <w:r w:rsidR="00AE2AA7" w:rsidRPr="0018098D">
        <w:rPr>
          <w:rFonts w:asciiTheme="majorHAnsi" w:eastAsia="Times New Roman" w:hAnsiTheme="majorHAnsi" w:cstheme="majorBidi"/>
          <w:b/>
          <w:bCs/>
          <w:color w:val="auto"/>
          <w:szCs w:val="22"/>
          <w:lang w:eastAsia="de-DE"/>
        </w:rPr>
        <w:t>Cycles</w:t>
      </w:r>
      <w:proofErr w:type="spellEnd"/>
      <w:r w:rsidR="00AE2AA7" w:rsidRPr="0018098D">
        <w:rPr>
          <w:rFonts w:asciiTheme="majorHAnsi" w:eastAsia="Times New Roman" w:hAnsiTheme="majorHAnsi" w:cstheme="majorBidi"/>
          <w:b/>
          <w:bCs/>
          <w:color w:val="auto"/>
          <w:szCs w:val="22"/>
          <w:lang w:eastAsia="de-DE"/>
        </w:rPr>
        <w:t xml:space="preserve"> und </w:t>
      </w:r>
      <w:r w:rsidR="002309A9" w:rsidRPr="0018098D">
        <w:rPr>
          <w:rFonts w:asciiTheme="majorHAnsi" w:eastAsia="Times New Roman" w:hAnsiTheme="majorHAnsi" w:cstheme="majorBidi"/>
          <w:b/>
          <w:bCs/>
          <w:color w:val="auto"/>
          <w:szCs w:val="22"/>
          <w:lang w:eastAsia="de-DE"/>
        </w:rPr>
        <w:t xml:space="preserve">die zugehörigen </w:t>
      </w:r>
      <w:r w:rsidR="00AE2AA7" w:rsidRPr="0018098D">
        <w:rPr>
          <w:rFonts w:asciiTheme="majorHAnsi" w:eastAsia="Times New Roman" w:hAnsiTheme="majorHAnsi" w:cstheme="majorBidi"/>
          <w:b/>
          <w:bCs/>
          <w:color w:val="auto"/>
          <w:szCs w:val="22"/>
          <w:lang w:eastAsia="de-DE"/>
        </w:rPr>
        <w:t>Priori</w:t>
      </w:r>
      <w:r w:rsidR="002309A9" w:rsidRPr="0018098D">
        <w:rPr>
          <w:rFonts w:asciiTheme="majorHAnsi" w:eastAsia="Times New Roman" w:hAnsiTheme="majorHAnsi" w:cstheme="majorBidi"/>
          <w:b/>
          <w:bCs/>
          <w:color w:val="auto"/>
          <w:szCs w:val="22"/>
          <w:lang w:eastAsia="de-DE"/>
        </w:rPr>
        <w:softHyphen/>
      </w:r>
      <w:r w:rsidR="00AE2AA7" w:rsidRPr="0018098D">
        <w:rPr>
          <w:rFonts w:asciiTheme="majorHAnsi" w:eastAsia="Times New Roman" w:hAnsiTheme="majorHAnsi" w:cstheme="majorBidi"/>
          <w:b/>
          <w:bCs/>
          <w:color w:val="auto"/>
          <w:szCs w:val="22"/>
          <w:lang w:eastAsia="de-DE"/>
        </w:rPr>
        <w:t>täts</w:t>
      </w:r>
      <w:r w:rsidR="002309A9" w:rsidRPr="0018098D">
        <w:rPr>
          <w:rFonts w:asciiTheme="majorHAnsi" w:eastAsia="Times New Roman" w:hAnsiTheme="majorHAnsi" w:cstheme="majorBidi"/>
          <w:b/>
          <w:bCs/>
          <w:color w:val="auto"/>
          <w:szCs w:val="22"/>
          <w:lang w:eastAsia="de-DE"/>
        </w:rPr>
        <w:softHyphen/>
      </w:r>
      <w:r w:rsidR="00AE2AA7" w:rsidRPr="0018098D">
        <w:rPr>
          <w:rFonts w:asciiTheme="majorHAnsi" w:eastAsia="Times New Roman" w:hAnsiTheme="majorHAnsi" w:cstheme="majorBidi"/>
          <w:b/>
          <w:bCs/>
          <w:color w:val="auto"/>
          <w:szCs w:val="22"/>
          <w:lang w:eastAsia="de-DE"/>
        </w:rPr>
        <w:t>matrizen nutzen, um</w:t>
      </w:r>
      <w:r w:rsidR="00CC2F84" w:rsidRPr="0018098D">
        <w:rPr>
          <w:rFonts w:asciiTheme="majorHAnsi" w:eastAsia="Times New Roman" w:hAnsiTheme="majorHAnsi" w:cstheme="majorBidi"/>
          <w:b/>
          <w:bCs/>
          <w:color w:val="auto"/>
          <w:szCs w:val="22"/>
          <w:lang w:eastAsia="de-DE"/>
        </w:rPr>
        <w:t xml:space="preserve"> beispielsweise</w:t>
      </w:r>
      <w:r w:rsidR="00AE2AA7" w:rsidRPr="0018098D">
        <w:rPr>
          <w:rFonts w:asciiTheme="majorHAnsi" w:eastAsia="Times New Roman" w:hAnsiTheme="majorHAnsi" w:cstheme="majorBidi"/>
          <w:b/>
          <w:bCs/>
          <w:color w:val="auto"/>
          <w:szCs w:val="22"/>
          <w:lang w:eastAsia="de-DE"/>
        </w:rPr>
        <w:t xml:space="preserve"> Roadmap</w:t>
      </w:r>
      <w:r w:rsidR="002309A9" w:rsidRPr="0018098D">
        <w:rPr>
          <w:rFonts w:asciiTheme="majorHAnsi" w:eastAsia="Times New Roman" w:hAnsiTheme="majorHAnsi" w:cstheme="majorBidi"/>
          <w:b/>
          <w:bCs/>
          <w:color w:val="auto"/>
          <w:szCs w:val="22"/>
          <w:lang w:eastAsia="de-DE"/>
        </w:rPr>
        <w:t>s</w:t>
      </w:r>
      <w:r w:rsidR="00AE2AA7" w:rsidRPr="0018098D">
        <w:rPr>
          <w:rFonts w:asciiTheme="majorHAnsi" w:eastAsia="Times New Roman" w:hAnsiTheme="majorHAnsi" w:cstheme="majorBidi"/>
          <w:b/>
          <w:bCs/>
          <w:color w:val="auto"/>
          <w:szCs w:val="22"/>
          <w:lang w:eastAsia="de-DE"/>
        </w:rPr>
        <w:t xml:space="preserve"> </w:t>
      </w:r>
      <w:r w:rsidR="00CC2F84" w:rsidRPr="0018098D">
        <w:rPr>
          <w:rFonts w:asciiTheme="majorHAnsi" w:eastAsia="Times New Roman" w:hAnsiTheme="majorHAnsi" w:cstheme="majorBidi"/>
          <w:b/>
          <w:bCs/>
          <w:color w:val="auto"/>
          <w:szCs w:val="22"/>
          <w:lang w:eastAsia="de-DE"/>
        </w:rPr>
        <w:t xml:space="preserve">zu </w:t>
      </w:r>
      <w:r w:rsidR="00AE2AA7" w:rsidRPr="0018098D">
        <w:rPr>
          <w:rFonts w:asciiTheme="majorHAnsi" w:eastAsia="Times New Roman" w:hAnsiTheme="majorHAnsi" w:cstheme="majorBidi"/>
          <w:b/>
          <w:bCs/>
          <w:color w:val="auto"/>
          <w:szCs w:val="22"/>
          <w:lang w:eastAsia="de-DE"/>
        </w:rPr>
        <w:t xml:space="preserve">entwickeln, </w:t>
      </w:r>
      <w:r w:rsidR="002309A9" w:rsidRPr="0018098D">
        <w:rPr>
          <w:rFonts w:asciiTheme="majorHAnsi" w:eastAsia="Times New Roman" w:hAnsiTheme="majorHAnsi" w:cstheme="majorBidi"/>
          <w:b/>
          <w:bCs/>
          <w:color w:val="auto"/>
          <w:szCs w:val="22"/>
          <w:lang w:eastAsia="de-DE"/>
        </w:rPr>
        <w:t>damit sie zum</w:t>
      </w:r>
      <w:r w:rsidR="00AE2AA7" w:rsidRPr="0018098D">
        <w:rPr>
          <w:rFonts w:asciiTheme="majorHAnsi" w:eastAsia="Times New Roman" w:hAnsiTheme="majorHAnsi" w:cstheme="majorBidi"/>
          <w:b/>
          <w:bCs/>
          <w:color w:val="auto"/>
          <w:szCs w:val="22"/>
          <w:lang w:eastAsia="de-DE"/>
        </w:rPr>
        <w:t xml:space="preserve"> richtigen Zeitpunkt in die richtigen </w:t>
      </w:r>
      <w:r w:rsidR="00CC2F84" w:rsidRPr="0018098D">
        <w:rPr>
          <w:rFonts w:asciiTheme="majorHAnsi" w:eastAsia="Times New Roman" w:hAnsiTheme="majorHAnsi" w:cstheme="majorBidi"/>
          <w:b/>
          <w:bCs/>
          <w:color w:val="auto"/>
          <w:szCs w:val="22"/>
          <w:lang w:eastAsia="de-DE"/>
        </w:rPr>
        <w:t>Technologien</w:t>
      </w:r>
      <w:r w:rsidR="00AE2AA7" w:rsidRPr="0018098D">
        <w:rPr>
          <w:rFonts w:asciiTheme="majorHAnsi" w:eastAsia="Times New Roman" w:hAnsiTheme="majorHAnsi" w:cstheme="majorBidi"/>
          <w:b/>
          <w:bCs/>
          <w:color w:val="auto"/>
          <w:szCs w:val="22"/>
          <w:lang w:eastAsia="de-DE"/>
        </w:rPr>
        <w:t xml:space="preserve"> investieren.</w:t>
      </w:r>
    </w:p>
    <w:p w14:paraId="6875618E" w14:textId="77777777" w:rsidR="00CE6C34" w:rsidRPr="0018098D" w:rsidRDefault="00CE6C34" w:rsidP="00CE6C34">
      <w:pPr>
        <w:pStyle w:val="Flietext"/>
        <w:rPr>
          <w:rFonts w:ascii="Arial" w:hAnsi="Arial" w:cs="Arial"/>
          <w:szCs w:val="22"/>
        </w:rPr>
      </w:pPr>
    </w:p>
    <w:p w14:paraId="403F20E2" w14:textId="5957E5C3" w:rsidR="00CE6C34" w:rsidRPr="0018098D" w:rsidRDefault="0018098D" w:rsidP="002309A9">
      <w:pPr>
        <w:pStyle w:val="Flietext"/>
        <w:rPr>
          <w:rFonts w:ascii="Arial" w:hAnsi="Arial" w:cs="Arial"/>
          <w:bCs/>
          <w:szCs w:val="22"/>
        </w:rPr>
      </w:pPr>
      <w:r w:rsidRPr="0018098D">
        <w:rPr>
          <w:rFonts w:ascii="Arial" w:hAnsi="Arial" w:cs="Arial"/>
          <w:szCs w:val="22"/>
        </w:rPr>
        <w:t>Der Hype Cycle hilft Unternehmen und Entscheidungsträgern, die Reife und Zukunftsaussichten neuer Technologien besser zu verstehen und fundierte Entscheidungen über Investitionen und den Einsatz neuer Technologien zu treffen. Er bietet eine grafische Darstellung der verschiedenen Phasen, die eine Technologie durchläuft, von ihrer Entstehung bis zur breiten Akzeptanz.</w:t>
      </w:r>
    </w:p>
    <w:p w14:paraId="25B1C84E" w14:textId="77777777" w:rsidR="00ED7DB5" w:rsidRDefault="00ED7DB5" w:rsidP="00F64D13">
      <w:pPr>
        <w:pStyle w:val="Flietext"/>
        <w:rPr>
          <w:rFonts w:ascii="Arial" w:hAnsi="Arial" w:cs="Arial"/>
          <w:b/>
          <w:bCs/>
          <w:szCs w:val="22"/>
        </w:rPr>
      </w:pPr>
    </w:p>
    <w:p w14:paraId="60D1BC61" w14:textId="5146D6F8" w:rsidR="00ED7DB5" w:rsidRDefault="008E2C54" w:rsidP="00F64D13">
      <w:pPr>
        <w:pStyle w:val="Flietext"/>
        <w:rPr>
          <w:rFonts w:ascii="Arial" w:hAnsi="Arial" w:cs="Arial"/>
          <w:b/>
          <w:bCs/>
          <w:szCs w:val="22"/>
        </w:rPr>
      </w:pPr>
      <w:r w:rsidRPr="0018098D">
        <w:rPr>
          <w:rFonts w:ascii="Arial" w:hAnsi="Arial" w:cs="Arial"/>
          <w:b/>
          <w:bCs/>
          <w:szCs w:val="22"/>
        </w:rPr>
        <w:t xml:space="preserve">Fit für die Zukunft durch </w:t>
      </w:r>
      <w:proofErr w:type="spellStart"/>
      <w:r w:rsidRPr="0018098D">
        <w:rPr>
          <w:rFonts w:ascii="Arial" w:hAnsi="Arial" w:cs="Arial"/>
          <w:b/>
          <w:bCs/>
          <w:szCs w:val="22"/>
        </w:rPr>
        <w:t>Composable</w:t>
      </w:r>
      <w:proofErr w:type="spellEnd"/>
      <w:r w:rsidRPr="0018098D">
        <w:rPr>
          <w:rFonts w:ascii="Arial" w:hAnsi="Arial" w:cs="Arial"/>
          <w:b/>
          <w:bCs/>
          <w:szCs w:val="22"/>
        </w:rPr>
        <w:t xml:space="preserve">-Architektur </w:t>
      </w:r>
    </w:p>
    <w:p w14:paraId="4BC6435F" w14:textId="77777777" w:rsidR="009D229B" w:rsidRDefault="009D229B" w:rsidP="00F64D13">
      <w:pPr>
        <w:pStyle w:val="Flietext"/>
        <w:rPr>
          <w:rFonts w:ascii="Arial" w:hAnsi="Arial" w:cs="Arial"/>
          <w:bCs/>
          <w:szCs w:val="22"/>
        </w:rPr>
      </w:pPr>
      <w:r w:rsidRPr="009D229B">
        <w:rPr>
          <w:rFonts w:ascii="Arial" w:hAnsi="Arial" w:cs="Arial"/>
          <w:bCs/>
          <w:szCs w:val="22"/>
        </w:rPr>
        <w:t xml:space="preserve">Als Sample Vendor im Segment „Composite </w:t>
      </w:r>
      <w:proofErr w:type="spellStart"/>
      <w:r w:rsidRPr="009D229B">
        <w:rPr>
          <w:rFonts w:ascii="Arial" w:hAnsi="Arial" w:cs="Arial"/>
          <w:bCs/>
          <w:szCs w:val="22"/>
        </w:rPr>
        <w:t>Applications</w:t>
      </w:r>
      <w:proofErr w:type="spellEnd"/>
      <w:r w:rsidRPr="009D229B">
        <w:rPr>
          <w:rFonts w:ascii="Arial" w:hAnsi="Arial" w:cs="Arial"/>
          <w:bCs/>
          <w:szCs w:val="22"/>
        </w:rPr>
        <w:t xml:space="preserve">“ geht iTAC mit gutem Beispiel voran. </w:t>
      </w:r>
    </w:p>
    <w:p w14:paraId="6C7BBFE0" w14:textId="77777777" w:rsidR="00E732A0" w:rsidRDefault="00E732A0" w:rsidP="00F64D13">
      <w:pPr>
        <w:pStyle w:val="Flietext"/>
        <w:rPr>
          <w:rFonts w:ascii="Arial" w:hAnsi="Arial" w:cs="Arial"/>
          <w:bCs/>
          <w:szCs w:val="22"/>
        </w:rPr>
      </w:pPr>
    </w:p>
    <w:p w14:paraId="1D25C872" w14:textId="658F769D" w:rsidR="00282B82" w:rsidRDefault="009D229B" w:rsidP="00F64D13">
      <w:pPr>
        <w:pStyle w:val="Flietext"/>
        <w:rPr>
          <w:rFonts w:ascii="Arial" w:hAnsi="Arial" w:cs="Arial"/>
          <w:bCs/>
          <w:szCs w:val="22"/>
        </w:rPr>
      </w:pPr>
      <w:r>
        <w:rPr>
          <w:rFonts w:ascii="Arial" w:hAnsi="Arial" w:cs="Arial"/>
          <w:bCs/>
          <w:szCs w:val="22"/>
        </w:rPr>
        <w:lastRenderedPageBreak/>
        <w:t xml:space="preserve">„Composite“ bzw. </w:t>
      </w:r>
      <w:r w:rsidR="003C6E41">
        <w:rPr>
          <w:rFonts w:ascii="Arial" w:hAnsi="Arial" w:cs="Arial"/>
          <w:bCs/>
          <w:szCs w:val="22"/>
        </w:rPr>
        <w:t>„</w:t>
      </w:r>
      <w:proofErr w:type="spellStart"/>
      <w:r w:rsidR="003C6E41">
        <w:rPr>
          <w:rFonts w:ascii="Arial" w:hAnsi="Arial" w:cs="Arial"/>
          <w:bCs/>
          <w:szCs w:val="22"/>
        </w:rPr>
        <w:t>Composable</w:t>
      </w:r>
      <w:proofErr w:type="spellEnd"/>
      <w:r w:rsidR="003C6E41">
        <w:rPr>
          <w:rFonts w:ascii="Arial" w:hAnsi="Arial" w:cs="Arial"/>
          <w:bCs/>
          <w:szCs w:val="22"/>
        </w:rPr>
        <w:t xml:space="preserve"> steht für ein</w:t>
      </w:r>
      <w:r w:rsidR="003C6E41" w:rsidRPr="003C6E41">
        <w:rPr>
          <w:rFonts w:ascii="Arial" w:hAnsi="Arial" w:cs="Arial"/>
          <w:bCs/>
          <w:szCs w:val="22"/>
        </w:rPr>
        <w:t xml:space="preserve"> modernes IT-Architekturkonzept, bei dem Systeme und Anwendungen aus modularen, wiederverwendbaren und unabhängigen Komponenten zusammengesetzt werden. </w:t>
      </w:r>
      <w:r w:rsidR="00932FC9" w:rsidRPr="00932FC9">
        <w:rPr>
          <w:rFonts w:ascii="Arial" w:hAnsi="Arial" w:cs="Arial"/>
          <w:bCs/>
          <w:szCs w:val="22"/>
        </w:rPr>
        <w:t xml:space="preserve">Diese Komponenten können </w:t>
      </w:r>
      <w:r w:rsidR="00E21114">
        <w:rPr>
          <w:rFonts w:ascii="Arial" w:hAnsi="Arial" w:cs="Arial"/>
          <w:bCs/>
          <w:szCs w:val="22"/>
        </w:rPr>
        <w:t>unterschiedliche</w:t>
      </w:r>
      <w:r w:rsidR="00932FC9" w:rsidRPr="00932FC9">
        <w:rPr>
          <w:rFonts w:ascii="Arial" w:hAnsi="Arial" w:cs="Arial"/>
          <w:bCs/>
          <w:szCs w:val="22"/>
        </w:rPr>
        <w:t xml:space="preserve"> Arten von Softwaremodulen, Microservices, Containern oder Anwendungen umfassen und mit verschiedenen Technologien und Plattformen entwickelt werde</w:t>
      </w:r>
      <w:r w:rsidR="00932FC9">
        <w:rPr>
          <w:rFonts w:ascii="Arial" w:hAnsi="Arial" w:cs="Arial"/>
          <w:bCs/>
          <w:szCs w:val="22"/>
        </w:rPr>
        <w:t>n. Sie</w:t>
      </w:r>
      <w:r w:rsidR="003C6E41" w:rsidRPr="003C6E41">
        <w:rPr>
          <w:rFonts w:ascii="Arial" w:hAnsi="Arial" w:cs="Arial"/>
          <w:bCs/>
          <w:szCs w:val="22"/>
        </w:rPr>
        <w:t xml:space="preserve"> sind so gestaltet, dass sie leicht miteinander kombinierbar, austauschbar und skalier</w:t>
      </w:r>
      <w:r w:rsidR="003C6E41">
        <w:rPr>
          <w:rFonts w:ascii="Arial" w:hAnsi="Arial" w:cs="Arial"/>
          <w:bCs/>
          <w:szCs w:val="22"/>
        </w:rPr>
        <w:softHyphen/>
      </w:r>
      <w:r w:rsidR="003C6E41" w:rsidRPr="003C6E41">
        <w:rPr>
          <w:rFonts w:ascii="Arial" w:hAnsi="Arial" w:cs="Arial"/>
          <w:bCs/>
          <w:szCs w:val="22"/>
        </w:rPr>
        <w:t>bar sind, um schnell auf Geschäftsanforderungen und Marktveränderungen reagieren zu können.</w:t>
      </w:r>
      <w:r w:rsidR="003C6E41">
        <w:rPr>
          <w:rFonts w:ascii="Arial" w:hAnsi="Arial" w:cs="Arial"/>
          <w:bCs/>
          <w:szCs w:val="22"/>
        </w:rPr>
        <w:t xml:space="preserve"> </w:t>
      </w:r>
    </w:p>
    <w:p w14:paraId="31E725AF" w14:textId="62978FC2" w:rsidR="00F64D13" w:rsidRPr="003C6E41" w:rsidRDefault="0048606D" w:rsidP="00F64D13">
      <w:pPr>
        <w:pStyle w:val="Flietext"/>
        <w:rPr>
          <w:rFonts w:ascii="Arial" w:hAnsi="Arial" w:cs="Arial"/>
          <w:bCs/>
          <w:szCs w:val="22"/>
        </w:rPr>
      </w:pPr>
      <w:r>
        <w:rPr>
          <w:rFonts w:ascii="Arial" w:hAnsi="Arial" w:cs="Arial"/>
          <w:bCs/>
          <w:szCs w:val="22"/>
        </w:rPr>
        <w:br/>
      </w:r>
      <w:r w:rsidR="00ED7DB5">
        <w:rPr>
          <w:rFonts w:ascii="Arial" w:hAnsi="Arial" w:cs="Arial"/>
          <w:bCs/>
          <w:szCs w:val="22"/>
        </w:rPr>
        <w:t>„</w:t>
      </w:r>
      <w:r w:rsidR="00932FC9" w:rsidRPr="00932FC9">
        <w:rPr>
          <w:rFonts w:ascii="Arial" w:hAnsi="Arial" w:cs="Arial"/>
          <w:bCs/>
          <w:szCs w:val="22"/>
        </w:rPr>
        <w:t>Diese Trends sowie die fortschreitende Digitalisierung und Automatisierung in der Fertigungsindustrie treiben die Entwicklung von MES/MOM-Systemen voran</w:t>
      </w:r>
      <w:r w:rsidR="00932FC9">
        <w:rPr>
          <w:rFonts w:ascii="Arial" w:hAnsi="Arial" w:cs="Arial"/>
          <w:bCs/>
          <w:szCs w:val="22"/>
        </w:rPr>
        <w:t xml:space="preserve">. </w:t>
      </w:r>
      <w:r w:rsidR="003C6E41" w:rsidRPr="003C6E41">
        <w:rPr>
          <w:rFonts w:ascii="Arial" w:hAnsi="Arial" w:cs="Arial"/>
          <w:bCs/>
          <w:szCs w:val="22"/>
        </w:rPr>
        <w:t xml:space="preserve">Der Wechsel von monolithischen Systemen hin zu Microservice-orientierten Architekturen ermöglicht </w:t>
      </w:r>
      <w:r w:rsidR="003C6E41">
        <w:rPr>
          <w:rFonts w:ascii="Arial" w:hAnsi="Arial" w:cs="Arial"/>
          <w:bCs/>
          <w:szCs w:val="22"/>
        </w:rPr>
        <w:t xml:space="preserve">also </w:t>
      </w:r>
      <w:r w:rsidR="003C6E41" w:rsidRPr="003C6E41">
        <w:rPr>
          <w:rFonts w:ascii="Arial" w:hAnsi="Arial" w:cs="Arial"/>
          <w:bCs/>
          <w:szCs w:val="22"/>
        </w:rPr>
        <w:t xml:space="preserve">eine höhere </w:t>
      </w:r>
      <w:r w:rsidR="003C6E41">
        <w:rPr>
          <w:rFonts w:ascii="Arial" w:hAnsi="Arial" w:cs="Arial"/>
          <w:bCs/>
          <w:szCs w:val="22"/>
        </w:rPr>
        <w:t>Unab</w:t>
      </w:r>
      <w:r w:rsidR="003C6E41">
        <w:rPr>
          <w:rFonts w:ascii="Arial" w:hAnsi="Arial" w:cs="Arial"/>
          <w:bCs/>
          <w:szCs w:val="22"/>
        </w:rPr>
        <w:softHyphen/>
        <w:t xml:space="preserve">hängigkeit, </w:t>
      </w:r>
      <w:r w:rsidR="003C6E41" w:rsidRPr="003C6E41">
        <w:rPr>
          <w:rFonts w:ascii="Arial" w:hAnsi="Arial" w:cs="Arial"/>
          <w:bCs/>
          <w:szCs w:val="22"/>
        </w:rPr>
        <w:t>Flexibilität</w:t>
      </w:r>
      <w:r w:rsidR="003C6E41">
        <w:rPr>
          <w:rFonts w:ascii="Arial" w:hAnsi="Arial" w:cs="Arial"/>
          <w:bCs/>
          <w:szCs w:val="22"/>
        </w:rPr>
        <w:t xml:space="preserve"> </w:t>
      </w:r>
      <w:r w:rsidR="003C6E41" w:rsidRPr="003C6E41">
        <w:rPr>
          <w:rFonts w:ascii="Arial" w:hAnsi="Arial" w:cs="Arial"/>
          <w:bCs/>
          <w:szCs w:val="22"/>
        </w:rPr>
        <w:t>und Agilität</w:t>
      </w:r>
      <w:r w:rsidR="00627189" w:rsidRPr="0018098D">
        <w:rPr>
          <w:rFonts w:ascii="Arial" w:hAnsi="Arial" w:cs="Arial"/>
          <w:bCs/>
          <w:szCs w:val="22"/>
        </w:rPr>
        <w:t xml:space="preserve">“, erklärt </w:t>
      </w:r>
      <w:r w:rsidR="00282B82" w:rsidRPr="00ED7DB5">
        <w:rPr>
          <w:rFonts w:ascii="Arial" w:hAnsi="Arial" w:cs="Arial"/>
          <w:bCs/>
          <w:szCs w:val="22"/>
        </w:rPr>
        <w:t>Martin Heinz</w:t>
      </w:r>
      <w:r w:rsidR="00627189" w:rsidRPr="00ED7DB5">
        <w:rPr>
          <w:rFonts w:ascii="Arial" w:hAnsi="Arial" w:cs="Arial"/>
          <w:bCs/>
          <w:szCs w:val="22"/>
        </w:rPr>
        <w:t>,</w:t>
      </w:r>
      <w:r w:rsidR="00282B82" w:rsidRPr="00ED7DB5">
        <w:rPr>
          <w:rFonts w:ascii="Arial" w:hAnsi="Arial" w:cs="Arial"/>
          <w:bCs/>
          <w:szCs w:val="22"/>
        </w:rPr>
        <w:t xml:space="preserve"> Vorstand</w:t>
      </w:r>
      <w:r w:rsidR="00627189" w:rsidRPr="0018098D">
        <w:rPr>
          <w:rFonts w:ascii="Arial" w:hAnsi="Arial" w:cs="Arial"/>
          <w:bCs/>
          <w:szCs w:val="22"/>
        </w:rPr>
        <w:t xml:space="preserve"> der iTAC Software AG.</w:t>
      </w:r>
    </w:p>
    <w:p w14:paraId="37780643" w14:textId="77777777" w:rsidR="003C6E41" w:rsidRDefault="003C6E41" w:rsidP="00F64D13">
      <w:pPr>
        <w:pStyle w:val="Flietext"/>
        <w:rPr>
          <w:rFonts w:ascii="Arial" w:hAnsi="Arial" w:cs="Arial"/>
          <w:bCs/>
          <w:szCs w:val="22"/>
        </w:rPr>
      </w:pPr>
    </w:p>
    <w:p w14:paraId="30961CEF" w14:textId="1497D4DA" w:rsidR="003C6E41" w:rsidRPr="0018098D" w:rsidRDefault="003C6E41" w:rsidP="00F64D13">
      <w:pPr>
        <w:pStyle w:val="Flietext"/>
        <w:rPr>
          <w:rFonts w:ascii="Arial" w:hAnsi="Arial" w:cs="Arial"/>
          <w:bCs/>
          <w:szCs w:val="22"/>
        </w:rPr>
      </w:pPr>
      <w:r w:rsidRPr="003C6E41">
        <w:rPr>
          <w:rFonts w:ascii="Arial" w:hAnsi="Arial" w:cs="Arial"/>
          <w:bCs/>
          <w:szCs w:val="22"/>
        </w:rPr>
        <w:t xml:space="preserve">Die Manufacturing Operations Management-Lösung iTAC.MOM.Suite </w:t>
      </w:r>
      <w:r w:rsidR="001D4D6D">
        <w:rPr>
          <w:rFonts w:ascii="Arial" w:hAnsi="Arial" w:cs="Arial"/>
          <w:bCs/>
          <w:szCs w:val="22"/>
        </w:rPr>
        <w:t>arbeitet nach diesem</w:t>
      </w:r>
      <w:r>
        <w:rPr>
          <w:rFonts w:ascii="Arial" w:hAnsi="Arial" w:cs="Arial"/>
          <w:bCs/>
          <w:szCs w:val="22"/>
        </w:rPr>
        <w:t xml:space="preserve"> Prinzip und</w:t>
      </w:r>
      <w:r w:rsidR="001D4D6D">
        <w:rPr>
          <w:rFonts w:ascii="Arial" w:hAnsi="Arial" w:cs="Arial"/>
          <w:bCs/>
          <w:szCs w:val="22"/>
        </w:rPr>
        <w:t xml:space="preserve"> setzt</w:t>
      </w:r>
      <w:r>
        <w:rPr>
          <w:rFonts w:ascii="Arial" w:hAnsi="Arial" w:cs="Arial"/>
          <w:bCs/>
          <w:szCs w:val="22"/>
        </w:rPr>
        <w:t xml:space="preserve"> damit neue </w:t>
      </w:r>
      <w:r w:rsidRPr="003C6E41">
        <w:rPr>
          <w:rFonts w:ascii="Arial" w:hAnsi="Arial" w:cs="Arial"/>
          <w:bCs/>
          <w:szCs w:val="22"/>
        </w:rPr>
        <w:t xml:space="preserve">Standards in der Fertigungsindustrie. </w:t>
      </w:r>
      <w:r w:rsidR="001D4D6D">
        <w:rPr>
          <w:rFonts w:ascii="Arial" w:hAnsi="Arial" w:cs="Arial"/>
          <w:bCs/>
          <w:szCs w:val="22"/>
        </w:rPr>
        <w:t>Das MOM</w:t>
      </w:r>
      <w:r w:rsidRPr="003C6E41">
        <w:rPr>
          <w:rFonts w:ascii="Arial" w:hAnsi="Arial" w:cs="Arial"/>
          <w:bCs/>
          <w:szCs w:val="22"/>
        </w:rPr>
        <w:t xml:space="preserve"> vereint Manufacturing Execution System (MES)-Funktionen mit Echtzeitlösungen zur Steuerung, Optimierung und Prognose von Produktions</w:t>
      </w:r>
      <w:r w:rsidR="001D4D6D">
        <w:rPr>
          <w:rFonts w:ascii="Arial" w:hAnsi="Arial" w:cs="Arial"/>
          <w:bCs/>
          <w:szCs w:val="22"/>
        </w:rPr>
        <w:softHyphen/>
      </w:r>
      <w:r w:rsidRPr="003C6E41">
        <w:rPr>
          <w:rFonts w:ascii="Arial" w:hAnsi="Arial" w:cs="Arial"/>
          <w:bCs/>
          <w:szCs w:val="22"/>
        </w:rPr>
        <w:t xml:space="preserve">prozessen. </w:t>
      </w:r>
      <w:r w:rsidR="001D4D6D">
        <w:rPr>
          <w:rFonts w:ascii="Arial" w:hAnsi="Arial" w:cs="Arial"/>
          <w:bCs/>
          <w:szCs w:val="22"/>
        </w:rPr>
        <w:t>Es</w:t>
      </w:r>
      <w:r w:rsidRPr="003C6E41">
        <w:rPr>
          <w:rFonts w:ascii="Arial" w:hAnsi="Arial" w:cs="Arial"/>
          <w:bCs/>
          <w:szCs w:val="22"/>
        </w:rPr>
        <w:t xml:space="preserve"> besitzt alle erforderlichen Funktionen für die Vernetzung und Automatisierung von Prozessen. Die offene und serviceorientierte Architektur </w:t>
      </w:r>
      <w:r w:rsidR="00282B82">
        <w:rPr>
          <w:rFonts w:ascii="Arial" w:hAnsi="Arial" w:cs="Arial"/>
          <w:bCs/>
          <w:szCs w:val="22"/>
        </w:rPr>
        <w:t xml:space="preserve">erleichtert den Datenaustausch </w:t>
      </w:r>
      <w:r w:rsidR="005C0C24">
        <w:rPr>
          <w:rFonts w:ascii="Arial" w:hAnsi="Arial" w:cs="Arial"/>
          <w:bCs/>
          <w:szCs w:val="22"/>
        </w:rPr>
        <w:t xml:space="preserve">und </w:t>
      </w:r>
      <w:r w:rsidRPr="003C6E41">
        <w:rPr>
          <w:rFonts w:ascii="Arial" w:hAnsi="Arial" w:cs="Arial"/>
          <w:bCs/>
          <w:szCs w:val="22"/>
        </w:rPr>
        <w:t>bildet die Basis für eine nahtlose Integra</w:t>
      </w:r>
      <w:r w:rsidR="0048606D">
        <w:rPr>
          <w:rFonts w:ascii="Arial" w:hAnsi="Arial" w:cs="Arial"/>
          <w:bCs/>
          <w:szCs w:val="22"/>
        </w:rPr>
        <w:softHyphen/>
      </w:r>
      <w:r w:rsidRPr="003C6E41">
        <w:rPr>
          <w:rFonts w:ascii="Arial" w:hAnsi="Arial" w:cs="Arial"/>
          <w:bCs/>
          <w:szCs w:val="22"/>
        </w:rPr>
        <w:t xml:space="preserve">tion in bestehende </w:t>
      </w:r>
      <w:r w:rsidR="00282B82">
        <w:rPr>
          <w:rFonts w:ascii="Arial" w:hAnsi="Arial" w:cs="Arial"/>
          <w:bCs/>
          <w:szCs w:val="22"/>
        </w:rPr>
        <w:t>Plattformkonzepte</w:t>
      </w:r>
      <w:r w:rsidRPr="003C6E41">
        <w:rPr>
          <w:rFonts w:ascii="Arial" w:hAnsi="Arial" w:cs="Arial"/>
          <w:bCs/>
          <w:szCs w:val="22"/>
        </w:rPr>
        <w:t>. Der Microservices-Ansatz ermöglicht eine einfache und bedarfsgerechte Erweiterbarkeit um neue Funktionalitäten.</w:t>
      </w:r>
    </w:p>
    <w:p w14:paraId="07BD02E6" w14:textId="77777777" w:rsidR="00F64D13" w:rsidRPr="0018098D" w:rsidRDefault="00F64D13" w:rsidP="00F64D13">
      <w:pPr>
        <w:pStyle w:val="Flietext"/>
        <w:rPr>
          <w:rFonts w:ascii="Arial" w:hAnsi="Arial" w:cs="Arial"/>
          <w:bCs/>
          <w:szCs w:val="22"/>
        </w:rPr>
      </w:pPr>
    </w:p>
    <w:p w14:paraId="244CBB3E" w14:textId="4470ACDE" w:rsidR="00902358" w:rsidRDefault="00282B82" w:rsidP="00D9165E">
      <w:pPr>
        <w:pStyle w:val="Flietext"/>
        <w:rPr>
          <w:rFonts w:ascii="Arial" w:hAnsi="Arial" w:cs="Arial"/>
          <w:bCs/>
          <w:szCs w:val="22"/>
        </w:rPr>
      </w:pPr>
      <w:r w:rsidRPr="00ED7DB5">
        <w:rPr>
          <w:rFonts w:ascii="Arial" w:hAnsi="Arial" w:cs="Arial"/>
          <w:bCs/>
          <w:szCs w:val="22"/>
        </w:rPr>
        <w:t>Martin Heinz</w:t>
      </w:r>
      <w:r w:rsidR="00627189" w:rsidRPr="0018098D">
        <w:rPr>
          <w:rFonts w:ascii="Arial" w:hAnsi="Arial" w:cs="Arial"/>
          <w:bCs/>
          <w:szCs w:val="22"/>
        </w:rPr>
        <w:t xml:space="preserve"> sagt: „</w:t>
      </w:r>
      <w:r w:rsidR="008E2C54" w:rsidRPr="0018098D">
        <w:rPr>
          <w:rFonts w:ascii="Arial" w:hAnsi="Arial" w:cs="Arial"/>
          <w:bCs/>
          <w:szCs w:val="22"/>
        </w:rPr>
        <w:t>Die Anerkennung im Gartner Report</w:t>
      </w:r>
      <w:r w:rsidR="001D4D6D">
        <w:rPr>
          <w:rFonts w:ascii="Arial" w:hAnsi="Arial" w:cs="Arial"/>
          <w:bCs/>
          <w:szCs w:val="22"/>
        </w:rPr>
        <w:t xml:space="preserve"> bestätigt uns darin, dass wir</w:t>
      </w:r>
      <w:r w:rsidR="0048606D">
        <w:rPr>
          <w:rFonts w:ascii="Arial" w:hAnsi="Arial" w:cs="Arial"/>
          <w:bCs/>
          <w:szCs w:val="22"/>
        </w:rPr>
        <w:t xml:space="preserve"> mit</w:t>
      </w:r>
      <w:r w:rsidR="001D4D6D">
        <w:rPr>
          <w:rFonts w:ascii="Arial" w:hAnsi="Arial" w:cs="Arial"/>
          <w:bCs/>
          <w:szCs w:val="22"/>
        </w:rPr>
        <w:t xml:space="preserve"> unserem Fertigungsmanagementsystem</w:t>
      </w:r>
      <w:r w:rsidR="008E2C54" w:rsidRPr="0018098D">
        <w:rPr>
          <w:rFonts w:ascii="Arial" w:hAnsi="Arial" w:cs="Arial"/>
          <w:bCs/>
          <w:szCs w:val="22"/>
        </w:rPr>
        <w:t xml:space="preserve"> zukunftsfähig</w:t>
      </w:r>
      <w:r w:rsidR="001D4D6D">
        <w:rPr>
          <w:rFonts w:ascii="Arial" w:hAnsi="Arial" w:cs="Arial"/>
          <w:bCs/>
          <w:szCs w:val="22"/>
        </w:rPr>
        <w:t xml:space="preserve"> aufgestellt</w:t>
      </w:r>
      <w:r w:rsidR="008E2C54" w:rsidRPr="0018098D">
        <w:rPr>
          <w:rFonts w:ascii="Arial" w:hAnsi="Arial" w:cs="Arial"/>
          <w:bCs/>
          <w:szCs w:val="22"/>
        </w:rPr>
        <w:t xml:space="preserve"> sind.“ </w:t>
      </w:r>
    </w:p>
    <w:p w14:paraId="3CEBB87B" w14:textId="77777777" w:rsidR="00E21114" w:rsidRDefault="00E21114" w:rsidP="00D9165E">
      <w:pPr>
        <w:pStyle w:val="Flietext"/>
        <w:rPr>
          <w:rFonts w:ascii="Arial" w:hAnsi="Arial" w:cs="Arial"/>
          <w:bCs/>
          <w:szCs w:val="22"/>
        </w:rPr>
      </w:pPr>
    </w:p>
    <w:p w14:paraId="1C5E9889" w14:textId="707C8263" w:rsidR="00FF0DFC" w:rsidRPr="0041758D" w:rsidRDefault="00603C18" w:rsidP="00D9165E">
      <w:pPr>
        <w:pStyle w:val="Flietext"/>
        <w:rPr>
          <w:rFonts w:ascii="Arial" w:hAnsi="Arial" w:cs="Arial"/>
          <w:bCs/>
          <w:szCs w:val="22"/>
        </w:rPr>
      </w:pPr>
      <w:r>
        <w:rPr>
          <w:rFonts w:ascii="Arial" w:hAnsi="Arial" w:cs="Arial"/>
          <w:bCs/>
          <w:szCs w:val="22"/>
        </w:rPr>
        <w:t>Zum</w:t>
      </w:r>
      <w:r w:rsidR="00E21114">
        <w:rPr>
          <w:rFonts w:ascii="Arial" w:hAnsi="Arial" w:cs="Arial"/>
          <w:bCs/>
          <w:szCs w:val="22"/>
        </w:rPr>
        <w:t xml:space="preserve"> vollständigen Report: </w:t>
      </w:r>
      <w:hyperlink r:id="rId13" w:history="1">
        <w:r w:rsidR="0041758D" w:rsidRPr="008611A9">
          <w:rPr>
            <w:rStyle w:val="Hyperlink"/>
            <w:rFonts w:ascii="Arial" w:hAnsi="Arial" w:cs="Arial"/>
            <w:bCs/>
            <w:szCs w:val="22"/>
          </w:rPr>
          <w:t>https://www.itacsoftware.com/de/media/analysten-reports/gartner-report</w:t>
        </w:r>
      </w:hyperlink>
    </w:p>
    <w:p w14:paraId="74383728" w14:textId="57349920" w:rsidR="00FF0DFC" w:rsidRPr="0018098D" w:rsidRDefault="00FF0DFC" w:rsidP="00D9165E">
      <w:pPr>
        <w:pStyle w:val="Flietext"/>
        <w:rPr>
          <w:rFonts w:ascii="Arial" w:hAnsi="Arial" w:cs="Arial"/>
          <w:bCs/>
          <w:szCs w:val="22"/>
        </w:rPr>
      </w:pPr>
      <w:r>
        <w:rPr>
          <w:rFonts w:ascii="Arial" w:hAnsi="Arial" w:cs="Arial"/>
          <w:bCs/>
          <w:noProof/>
          <w:szCs w:val="22"/>
        </w:rPr>
        <w:lastRenderedPageBreak/>
        <w:drawing>
          <wp:inline distT="0" distB="0" distL="0" distR="0" wp14:anchorId="17E34555" wp14:editId="7A10C415">
            <wp:extent cx="4928235" cy="3565525"/>
            <wp:effectExtent l="0" t="0" r="5715" b="0"/>
            <wp:docPr id="1800273429" name="Grafik 7" descr="Ein Bild, das Text,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273429" name="Grafik 7" descr="Ein Bild, das Text, Diagramm, Reihe, Screenshot enthält.&#10;&#10;Automatisch generierte Beschreibung"/>
                    <pic:cNvPicPr/>
                  </pic:nvPicPr>
                  <pic:blipFill>
                    <a:blip r:embed="rId14"/>
                    <a:stretch>
                      <a:fillRect/>
                    </a:stretch>
                  </pic:blipFill>
                  <pic:spPr>
                    <a:xfrm>
                      <a:off x="0" y="0"/>
                      <a:ext cx="4928235" cy="3565525"/>
                    </a:xfrm>
                    <a:prstGeom prst="rect">
                      <a:avLst/>
                    </a:prstGeom>
                  </pic:spPr>
                </pic:pic>
              </a:graphicData>
            </a:graphic>
          </wp:inline>
        </w:drawing>
      </w:r>
    </w:p>
    <w:p w14:paraId="0211BDA0" w14:textId="2B77FA49" w:rsidR="00E86CB8" w:rsidRDefault="00E86CB8" w:rsidP="00D9165E">
      <w:pPr>
        <w:pStyle w:val="Flietext"/>
      </w:pPr>
    </w:p>
    <w:p w14:paraId="35D87942" w14:textId="2E341D90" w:rsidR="00E86CB8" w:rsidRPr="0041758D" w:rsidRDefault="00FF0DFC" w:rsidP="00D9165E">
      <w:pPr>
        <w:pStyle w:val="Flietext"/>
        <w:rPr>
          <w:b/>
          <w:bCs/>
          <w:i/>
          <w:iCs/>
          <w:sz w:val="20"/>
          <w:szCs w:val="20"/>
          <w:lang w:val="en-US"/>
        </w:rPr>
      </w:pPr>
      <w:r w:rsidRPr="0041758D">
        <w:rPr>
          <w:b/>
          <w:bCs/>
          <w:i/>
          <w:iCs/>
          <w:sz w:val="20"/>
          <w:szCs w:val="20"/>
          <w:lang w:val="en-US"/>
        </w:rPr>
        <w:t xml:space="preserve">iTAC </w:t>
      </w:r>
      <w:proofErr w:type="spellStart"/>
      <w:r w:rsidRPr="0041758D">
        <w:rPr>
          <w:b/>
          <w:bCs/>
          <w:i/>
          <w:iCs/>
          <w:sz w:val="20"/>
          <w:szCs w:val="20"/>
          <w:lang w:val="en-US"/>
        </w:rPr>
        <w:t>im</w:t>
      </w:r>
      <w:proofErr w:type="spellEnd"/>
      <w:r w:rsidRPr="0041758D">
        <w:rPr>
          <w:b/>
          <w:bCs/>
          <w:i/>
          <w:iCs/>
          <w:sz w:val="20"/>
          <w:szCs w:val="20"/>
          <w:lang w:val="en-US"/>
        </w:rPr>
        <w:t xml:space="preserve"> „Gartner Hype Cycle 2024” </w:t>
      </w:r>
      <w:proofErr w:type="spellStart"/>
      <w:r w:rsidRPr="0041758D">
        <w:rPr>
          <w:b/>
          <w:bCs/>
          <w:i/>
          <w:iCs/>
          <w:sz w:val="20"/>
          <w:szCs w:val="20"/>
          <w:lang w:val="en-US"/>
        </w:rPr>
        <w:t>als</w:t>
      </w:r>
      <w:proofErr w:type="spellEnd"/>
      <w:r w:rsidRPr="0041758D">
        <w:rPr>
          <w:b/>
          <w:bCs/>
          <w:i/>
          <w:iCs/>
          <w:sz w:val="20"/>
          <w:szCs w:val="20"/>
          <w:lang w:val="en-US"/>
        </w:rPr>
        <w:t xml:space="preserve"> Sample Vendor für „Composite </w:t>
      </w:r>
      <w:proofErr w:type="gramStart"/>
      <w:r w:rsidRPr="0041758D">
        <w:rPr>
          <w:b/>
          <w:bCs/>
          <w:i/>
          <w:iCs/>
          <w:sz w:val="20"/>
          <w:szCs w:val="20"/>
          <w:lang w:val="en-US"/>
        </w:rPr>
        <w:t xml:space="preserve">Applications“ </w:t>
      </w:r>
      <w:proofErr w:type="spellStart"/>
      <w:r w:rsidRPr="0041758D">
        <w:rPr>
          <w:b/>
          <w:bCs/>
          <w:i/>
          <w:iCs/>
          <w:sz w:val="20"/>
          <w:szCs w:val="20"/>
          <w:lang w:val="en-US"/>
        </w:rPr>
        <w:t>positioniert</w:t>
      </w:r>
      <w:proofErr w:type="spellEnd"/>
      <w:proofErr w:type="gramEnd"/>
    </w:p>
    <w:p w14:paraId="31EDF4F1" w14:textId="77777777" w:rsidR="00FF0DFC" w:rsidRPr="009D229B" w:rsidRDefault="00FF0DFC" w:rsidP="00D9165E">
      <w:pPr>
        <w:pStyle w:val="Flietext"/>
        <w:rPr>
          <w:b/>
          <w:bCs/>
          <w:i/>
          <w:iCs/>
          <w:sz w:val="20"/>
          <w:szCs w:val="20"/>
          <w:lang w:val="en-US"/>
        </w:rPr>
      </w:pPr>
    </w:p>
    <w:p w14:paraId="79538FCB" w14:textId="386F1D92" w:rsidR="00E86CB8" w:rsidRPr="009D229B" w:rsidRDefault="00E86CB8" w:rsidP="00D9165E">
      <w:pPr>
        <w:pStyle w:val="Flietext"/>
        <w:rPr>
          <w:b/>
          <w:bCs/>
          <w:i/>
          <w:iCs/>
          <w:sz w:val="20"/>
          <w:szCs w:val="20"/>
          <w:lang w:val="en-US"/>
        </w:rPr>
      </w:pPr>
      <w:proofErr w:type="spellStart"/>
      <w:r w:rsidRPr="009D229B">
        <w:rPr>
          <w:b/>
          <w:bCs/>
          <w:i/>
          <w:iCs/>
          <w:sz w:val="20"/>
          <w:szCs w:val="20"/>
          <w:lang w:val="en-US"/>
        </w:rPr>
        <w:t>Bildquelle</w:t>
      </w:r>
      <w:proofErr w:type="spellEnd"/>
      <w:r w:rsidRPr="009D229B">
        <w:rPr>
          <w:b/>
          <w:bCs/>
          <w:i/>
          <w:iCs/>
          <w:sz w:val="20"/>
          <w:szCs w:val="20"/>
          <w:lang w:val="en-US"/>
        </w:rPr>
        <w:t xml:space="preserve">: </w:t>
      </w:r>
      <w:r w:rsidR="00FF0DFC">
        <w:rPr>
          <w:b/>
          <w:bCs/>
          <w:i/>
          <w:iCs/>
          <w:sz w:val="20"/>
          <w:szCs w:val="20"/>
          <w:lang w:val="en-US"/>
        </w:rPr>
        <w:t>Gartner</w:t>
      </w:r>
    </w:p>
    <w:p w14:paraId="018A2C8E" w14:textId="77777777" w:rsidR="00E21114" w:rsidRPr="009D229B" w:rsidRDefault="00E21114" w:rsidP="00955C3D">
      <w:pPr>
        <w:tabs>
          <w:tab w:val="clear" w:pos="3572"/>
        </w:tabs>
        <w:spacing w:line="240" w:lineRule="auto"/>
        <w:rPr>
          <w:rFonts w:ascii="Arial" w:hAnsi="Arial" w:cs="Arial"/>
          <w:b/>
          <w:bCs/>
          <w:sz w:val="18"/>
          <w:szCs w:val="18"/>
          <w:lang w:val="en-US"/>
        </w:rPr>
      </w:pPr>
    </w:p>
    <w:p w14:paraId="21038950" w14:textId="77777777" w:rsidR="00E21114" w:rsidRPr="009D229B" w:rsidRDefault="00E21114" w:rsidP="00955C3D">
      <w:pPr>
        <w:tabs>
          <w:tab w:val="clear" w:pos="3572"/>
        </w:tabs>
        <w:spacing w:line="240" w:lineRule="auto"/>
        <w:rPr>
          <w:rFonts w:ascii="Arial" w:hAnsi="Arial" w:cs="Arial"/>
          <w:b/>
          <w:bCs/>
          <w:sz w:val="18"/>
          <w:szCs w:val="18"/>
          <w:lang w:val="en-US"/>
        </w:rPr>
      </w:pPr>
    </w:p>
    <w:p w14:paraId="658186F9" w14:textId="77777777" w:rsidR="00E21114" w:rsidRPr="009D229B" w:rsidRDefault="00E21114" w:rsidP="00955C3D">
      <w:pPr>
        <w:tabs>
          <w:tab w:val="clear" w:pos="3572"/>
        </w:tabs>
        <w:spacing w:line="240" w:lineRule="auto"/>
        <w:rPr>
          <w:rFonts w:ascii="Arial" w:hAnsi="Arial" w:cs="Arial"/>
          <w:b/>
          <w:bCs/>
          <w:sz w:val="18"/>
          <w:szCs w:val="18"/>
          <w:lang w:val="en-US"/>
        </w:rPr>
      </w:pPr>
    </w:p>
    <w:p w14:paraId="52540169" w14:textId="4C42A430" w:rsidR="00E21114" w:rsidRPr="009D229B" w:rsidRDefault="00E21114" w:rsidP="00955C3D">
      <w:pPr>
        <w:tabs>
          <w:tab w:val="clear" w:pos="3572"/>
        </w:tabs>
        <w:spacing w:line="240" w:lineRule="auto"/>
        <w:rPr>
          <w:rFonts w:ascii="Arial" w:hAnsi="Arial" w:cs="Arial"/>
          <w:b/>
          <w:bCs/>
          <w:sz w:val="18"/>
          <w:szCs w:val="18"/>
          <w:lang w:val="en-US"/>
        </w:rPr>
      </w:pPr>
      <w:r w:rsidRPr="009D229B">
        <w:rPr>
          <w:rFonts w:ascii="Arial" w:hAnsi="Arial" w:cs="Arial"/>
          <w:b/>
          <w:bCs/>
          <w:sz w:val="18"/>
          <w:szCs w:val="18"/>
          <w:lang w:val="en-US"/>
        </w:rPr>
        <w:t>Disclaimer</w:t>
      </w:r>
    </w:p>
    <w:p w14:paraId="0A25E319" w14:textId="77777777" w:rsidR="00E21114" w:rsidRPr="00ED7DB5" w:rsidRDefault="00E21114" w:rsidP="00E21114">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Hype Cycle for Revenue and Sales Technology, 2024, Guy Wood and 4 others, 17 June 2024</w:t>
      </w:r>
    </w:p>
    <w:p w14:paraId="49EFBA04" w14:textId="77777777" w:rsidR="00E21114" w:rsidRPr="00ED7DB5" w:rsidRDefault="00E21114" w:rsidP="00E21114">
      <w:pPr>
        <w:tabs>
          <w:tab w:val="clear" w:pos="3572"/>
        </w:tabs>
        <w:spacing w:line="240" w:lineRule="auto"/>
        <w:rPr>
          <w:rFonts w:ascii="Arial" w:hAnsi="Arial" w:cs="Arial"/>
          <w:sz w:val="18"/>
          <w:szCs w:val="18"/>
          <w:lang w:val="en-US"/>
        </w:rPr>
      </w:pPr>
    </w:p>
    <w:p w14:paraId="6A85F984" w14:textId="77777777" w:rsidR="00E21114" w:rsidRPr="00ED7DB5" w:rsidRDefault="00E21114" w:rsidP="00E21114">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is a registered trademark and service mark of Gartner, Inc. and Hype Cycle is a registered trademark of Gartner, Inc. and/or its affiliates and is used herein with permission. All rights reserved.</w:t>
      </w:r>
    </w:p>
    <w:p w14:paraId="216BAE98" w14:textId="77777777" w:rsidR="00E21114" w:rsidRPr="00ED7DB5" w:rsidRDefault="00E21114" w:rsidP="00E21114">
      <w:pPr>
        <w:tabs>
          <w:tab w:val="clear" w:pos="3572"/>
        </w:tabs>
        <w:spacing w:line="240" w:lineRule="auto"/>
        <w:rPr>
          <w:rFonts w:ascii="Arial" w:hAnsi="Arial" w:cs="Arial"/>
          <w:sz w:val="18"/>
          <w:szCs w:val="18"/>
          <w:lang w:val="en-US"/>
        </w:rPr>
      </w:pPr>
    </w:p>
    <w:p w14:paraId="3D15B6AC" w14:textId="30C22913" w:rsidR="00E21114" w:rsidRPr="00ED7DB5" w:rsidRDefault="00E21114" w:rsidP="00E21114">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organization and should not be construed as statements of fact. Gartner disclaims all warranties, expressed or implied, with respect to this research, including any warranties of merchantability or fitness for a particular purpose.</w:t>
      </w:r>
    </w:p>
    <w:p w14:paraId="3B8BBE72" w14:textId="77777777" w:rsidR="00E21114" w:rsidRPr="00ED7DB5" w:rsidRDefault="00E21114" w:rsidP="00955C3D">
      <w:pPr>
        <w:tabs>
          <w:tab w:val="clear" w:pos="3572"/>
        </w:tabs>
        <w:spacing w:line="240" w:lineRule="auto"/>
        <w:rPr>
          <w:rFonts w:ascii="Arial" w:hAnsi="Arial" w:cs="Arial"/>
          <w:b/>
          <w:bCs/>
          <w:sz w:val="18"/>
          <w:szCs w:val="18"/>
          <w:lang w:val="en-US"/>
        </w:rPr>
      </w:pPr>
    </w:p>
    <w:p w14:paraId="0CA4E2B8" w14:textId="77777777" w:rsidR="00E21114" w:rsidRPr="00ED7DB5" w:rsidRDefault="00E21114" w:rsidP="00955C3D">
      <w:pPr>
        <w:tabs>
          <w:tab w:val="clear" w:pos="3572"/>
        </w:tabs>
        <w:spacing w:line="240" w:lineRule="auto"/>
        <w:rPr>
          <w:rFonts w:ascii="Arial" w:hAnsi="Arial" w:cs="Arial"/>
          <w:b/>
          <w:bCs/>
          <w:sz w:val="18"/>
          <w:szCs w:val="18"/>
          <w:lang w:val="en-US"/>
        </w:rPr>
      </w:pPr>
    </w:p>
    <w:p w14:paraId="397433BF" w14:textId="77777777" w:rsidR="0041758D" w:rsidRPr="0048606D" w:rsidRDefault="0041758D" w:rsidP="00955C3D">
      <w:pPr>
        <w:tabs>
          <w:tab w:val="clear" w:pos="3572"/>
        </w:tabs>
        <w:spacing w:line="240" w:lineRule="auto"/>
        <w:rPr>
          <w:rFonts w:ascii="Arial" w:hAnsi="Arial" w:cs="Arial"/>
          <w:b/>
          <w:bCs/>
          <w:sz w:val="18"/>
          <w:szCs w:val="18"/>
          <w:lang w:val="en-US"/>
        </w:rPr>
      </w:pPr>
    </w:p>
    <w:p w14:paraId="78B140E2" w14:textId="77777777" w:rsidR="0041758D" w:rsidRPr="0048606D" w:rsidRDefault="0041758D" w:rsidP="00955C3D">
      <w:pPr>
        <w:tabs>
          <w:tab w:val="clear" w:pos="3572"/>
        </w:tabs>
        <w:spacing w:line="240" w:lineRule="auto"/>
        <w:rPr>
          <w:rFonts w:ascii="Arial" w:hAnsi="Arial" w:cs="Arial"/>
          <w:b/>
          <w:bCs/>
          <w:sz w:val="18"/>
          <w:szCs w:val="18"/>
          <w:lang w:val="en-US"/>
        </w:rPr>
      </w:pPr>
    </w:p>
    <w:p w14:paraId="34C7D850" w14:textId="3D22BCC9"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71C23D24" w14:textId="2DC0AE2E" w:rsidR="00955C3D" w:rsidRDefault="00955C3D" w:rsidP="00955C3D">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w:t>
      </w:r>
      <w:r w:rsidR="00E86CB8">
        <w:rPr>
          <w:rFonts w:ascii="Arial" w:hAnsi="Arial" w:cs="Arial"/>
          <w:sz w:val="18"/>
          <w:szCs w:val="18"/>
        </w:rPr>
        <w:softHyphen/>
      </w:r>
      <w:r w:rsidRPr="005F3151">
        <w:rPr>
          <w:rFonts w:ascii="Arial" w:hAnsi="Arial" w:cs="Arial"/>
          <w:sz w:val="18"/>
          <w:szCs w:val="18"/>
        </w:rPr>
        <w:t>konzerns Dürr, bietet internetfähige Informations- und Kommunikationstechnologien für die produzierende Industrie. Das 1998 gegründete Unternehmen zählt heute zu den führenden MES/MOM-Herstellern. Die iTAC.MOM.Suite ist ein ganzheitliches Fertigungsmanagement</w:t>
      </w:r>
      <w:r w:rsidR="00E86CB8">
        <w:rPr>
          <w:rFonts w:ascii="Arial" w:hAnsi="Arial" w:cs="Arial"/>
          <w:sz w:val="18"/>
          <w:szCs w:val="18"/>
        </w:rPr>
        <w:softHyphen/>
      </w:r>
      <w:r w:rsidRPr="005F3151">
        <w:rPr>
          <w:rFonts w:ascii="Arial" w:hAnsi="Arial" w:cs="Arial"/>
          <w:sz w:val="18"/>
          <w:szCs w:val="18"/>
        </w:rPr>
        <w:t>system, das weltweit bei Unter</w:t>
      </w:r>
      <w:r>
        <w:rPr>
          <w:rFonts w:ascii="Arial" w:hAnsi="Arial" w:cs="Arial"/>
          <w:sz w:val="18"/>
          <w:szCs w:val="18"/>
        </w:rPr>
        <w:softHyphen/>
      </w:r>
      <w:r w:rsidRPr="005F3151">
        <w:rPr>
          <w:rFonts w:ascii="Arial" w:hAnsi="Arial" w:cs="Arial"/>
          <w:sz w:val="18"/>
          <w:szCs w:val="18"/>
        </w:rPr>
        <w:t xml:space="preserve">nehmen unterschiedlicher Industriezweige wie Automotive, Elektronik/EMS, Telekommunikation,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xml:space="preserve">- und Industrie 4.0-Anforderungen runden das Portfolio ab. Die iTAC Software AG hat ihren Hauptsitz in Montabaur in Deutschland sowie eine Niederlassung in den USA, </w:t>
      </w:r>
      <w:r>
        <w:rPr>
          <w:rFonts w:ascii="Arial" w:hAnsi="Arial" w:cs="Arial"/>
          <w:sz w:val="18"/>
          <w:szCs w:val="18"/>
        </w:rPr>
        <w:t xml:space="preserve">in </w:t>
      </w:r>
      <w:r w:rsidRPr="005F3151">
        <w:rPr>
          <w:rFonts w:ascii="Arial" w:hAnsi="Arial" w:cs="Arial"/>
          <w:sz w:val="18"/>
          <w:szCs w:val="18"/>
        </w:rPr>
        <w:t xml:space="preserve">Mexiko, China und Japan, </w:t>
      </w:r>
      <w:r w:rsidRPr="00A07265">
        <w:rPr>
          <w:rFonts w:ascii="Arial" w:hAnsi="Arial" w:cs="Arial"/>
          <w:sz w:val="18"/>
          <w:szCs w:val="18"/>
        </w:rPr>
        <w:t>und verfügt über ein weltweites Partnernetzwerk für Vertrieb und Service. Die Philosophie von iTAC ist es, Menschen, Daten und Systeme miteinander zu verbinden.</w:t>
      </w:r>
    </w:p>
    <w:p w14:paraId="43B0843D" w14:textId="77777777" w:rsidR="00955C3D" w:rsidRDefault="00955C3D" w:rsidP="00955C3D">
      <w:pPr>
        <w:spacing w:line="240" w:lineRule="auto"/>
        <w:rPr>
          <w:rFonts w:ascii="Arial" w:hAnsi="Arial" w:cs="Arial"/>
          <w:sz w:val="18"/>
          <w:szCs w:val="18"/>
        </w:rPr>
      </w:pPr>
    </w:p>
    <w:p w14:paraId="65CE033B" w14:textId="77777777" w:rsidR="00955C3D" w:rsidRPr="00A07265" w:rsidRDefault="00955C3D" w:rsidP="00955C3D">
      <w:pPr>
        <w:spacing w:line="240" w:lineRule="auto"/>
        <w:rPr>
          <w:rFonts w:ascii="Arial" w:hAnsi="Arial" w:cs="Arial"/>
          <w:sz w:val="18"/>
          <w:szCs w:val="18"/>
        </w:rPr>
      </w:pPr>
      <w:r w:rsidRPr="00971782">
        <w:rPr>
          <w:rFonts w:ascii="Arial"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971782">
        <w:rPr>
          <w:rFonts w:ascii="Arial" w:hAnsi="Arial" w:cs="Arial"/>
          <w:sz w:val="18"/>
          <w:szCs w:val="18"/>
        </w:rPr>
        <w:t>Pharma</w:t>
      </w:r>
      <w:proofErr w:type="spellEnd"/>
      <w:r w:rsidRPr="00971782">
        <w:rPr>
          <w:rFonts w:ascii="Arial" w:hAnsi="Arial" w:cs="Arial"/>
          <w:sz w:val="18"/>
          <w:szCs w:val="18"/>
        </w:rPr>
        <w:t xml:space="preserve">, Medizinprodukte, Elektro und Batteriefertigung. Im Jahr 2023 erzielte das Unternehmen einen Umsatz von 4,6 Mrd. €. Der Dürr-Konzern hat rund 20.500 Beschäftigte sowie 142 Standorte in 32 Ländern und agiert mit fünf </w:t>
      </w:r>
      <w:proofErr w:type="spellStart"/>
      <w:r w:rsidRPr="00971782">
        <w:rPr>
          <w:rFonts w:ascii="Arial" w:hAnsi="Arial" w:cs="Arial"/>
          <w:sz w:val="18"/>
          <w:szCs w:val="18"/>
        </w:rPr>
        <w:t>Divisions</w:t>
      </w:r>
      <w:proofErr w:type="spellEnd"/>
      <w:r w:rsidRPr="00971782">
        <w:rPr>
          <w:rFonts w:ascii="Arial" w:hAnsi="Arial" w:cs="Arial"/>
          <w:sz w:val="18"/>
          <w:szCs w:val="18"/>
        </w:rPr>
        <w:t xml:space="preserve"> am Markt:</w:t>
      </w:r>
    </w:p>
    <w:p w14:paraId="2B5EDDEE" w14:textId="77777777" w:rsidR="00955C3D" w:rsidRDefault="00955C3D" w:rsidP="00955C3D">
      <w:pPr>
        <w:spacing w:line="280" w:lineRule="atLeast"/>
        <w:rPr>
          <w:rStyle w:val="Fettung"/>
        </w:rPr>
      </w:pPr>
    </w:p>
    <w:p w14:paraId="7174B1B9" w14:textId="3AB67599" w:rsidR="00955C3D" w:rsidRPr="00B17605" w:rsidRDefault="00955C3D" w:rsidP="0048606D">
      <w:pPr>
        <w:tabs>
          <w:tab w:val="clear" w:pos="3572"/>
        </w:tabs>
        <w:spacing w:line="240" w:lineRule="auto"/>
        <w:rPr>
          <w:rStyle w:val="Fettung"/>
        </w:rPr>
      </w:pPr>
      <w:r w:rsidRPr="00B17605">
        <w:rPr>
          <w:rStyle w:val="Fettung"/>
        </w:rPr>
        <w:t>Kontakt</w:t>
      </w:r>
    </w:p>
    <w:p w14:paraId="24D3043D" w14:textId="77777777" w:rsidR="00955C3D" w:rsidRDefault="00955C3D" w:rsidP="00955C3D">
      <w:pPr>
        <w:spacing w:line="280" w:lineRule="atLeast"/>
      </w:pPr>
      <w:r>
        <w:t>iTAC Software AG</w:t>
      </w:r>
    </w:p>
    <w:p w14:paraId="4E565FB7" w14:textId="77777777" w:rsidR="00955C3D" w:rsidRPr="009F349E" w:rsidRDefault="00955C3D" w:rsidP="00955C3D">
      <w:pPr>
        <w:spacing w:line="280" w:lineRule="atLeast"/>
      </w:pPr>
      <w:r w:rsidRPr="009F349E">
        <w:t>Alina Leber</w:t>
      </w:r>
    </w:p>
    <w:p w14:paraId="62A2DB3A" w14:textId="77777777" w:rsidR="00955C3D" w:rsidRPr="00AC3283" w:rsidRDefault="00955C3D" w:rsidP="00955C3D">
      <w:pPr>
        <w:spacing w:line="280" w:lineRule="atLeast"/>
        <w:rPr>
          <w:lang w:val="en-US"/>
        </w:rPr>
      </w:pPr>
      <w:r>
        <w:rPr>
          <w:lang w:val="en-US"/>
        </w:rPr>
        <w:t>Inbound</w:t>
      </w:r>
      <w:r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567C04" w:rsidP="00955C3D">
      <w:pPr>
        <w:spacing w:line="280" w:lineRule="atLeast"/>
        <w:rPr>
          <w:lang w:val="en-US"/>
        </w:rPr>
      </w:pPr>
      <w:hyperlink r:id="rId15" w:history="1">
        <w:r w:rsidR="00955C3D" w:rsidRPr="00967C41">
          <w:rPr>
            <w:rStyle w:val="Hyperlink"/>
            <w:lang w:val="en-US"/>
          </w:rPr>
          <w:t>alina.leber@itacsoftware.com</w:t>
        </w:r>
      </w:hyperlink>
      <w:r w:rsidR="00955C3D">
        <w:rPr>
          <w:lang w:val="en-US"/>
        </w:rPr>
        <w:t xml:space="preserve"> </w:t>
      </w:r>
      <w:hyperlink r:id="rId16" w:history="1"/>
      <w:r w:rsidR="00955C3D">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41758D" w:rsidRDefault="00955C3D" w:rsidP="00955C3D">
      <w:pPr>
        <w:spacing w:line="280" w:lineRule="atLeast"/>
      </w:pPr>
      <w:r w:rsidRPr="0041758D">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567C04" w:rsidP="00955C3D">
      <w:pPr>
        <w:spacing w:line="280" w:lineRule="atLeast"/>
      </w:pPr>
      <w:hyperlink r:id="rId17" w:history="1">
        <w:r w:rsidR="00955C3D" w:rsidRPr="009E6C61">
          <w:rPr>
            <w:rStyle w:val="Hyperlink"/>
          </w:rPr>
          <w:t>pr@punctum-pr.de</w:t>
        </w:r>
      </w:hyperlink>
      <w:r w:rsidR="00955C3D">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2106BB" w14:textId="77777777" w:rsidR="00450679" w:rsidRDefault="00450679" w:rsidP="00D9165E">
      <w:r>
        <w:separator/>
      </w:r>
    </w:p>
  </w:endnote>
  <w:endnote w:type="continuationSeparator" w:id="0">
    <w:p w14:paraId="04591593" w14:textId="77777777" w:rsidR="00450679" w:rsidRDefault="00450679"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4911DE" w14:textId="77777777" w:rsidR="009F4360" w:rsidRDefault="0046016C">
    <w:pPr>
      <w:pStyle w:val="Fuzeile"/>
    </w:pPr>
    <w:r>
      <mc:AlternateContent>
        <mc:Choice Requires="wps">
          <w:drawing>
            <wp:anchor distT="0" distB="0" distL="0" distR="0" simplePos="0" relativeHeight="251696128"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D8FEC8" w14:textId="1EE84B65" w:rsidR="00B143FE" w:rsidRPr="0085432F" w:rsidRDefault="0046016C" w:rsidP="004332CC">
    <w:pPr>
      <w:pStyle w:val="Kopfzeile"/>
    </w:pPr>
    <w:r>
      <mc:AlternateContent>
        <mc:Choice Requires="wps">
          <w:drawing>
            <wp:anchor distT="0" distB="0" distL="0" distR="0" simplePos="0" relativeHeight="251697152"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567C04">
      <w:fldChar w:fldCharType="begin"/>
    </w:r>
    <w:r w:rsidR="00567C04">
      <w:instrText xml:space="preserve"> NUMPAGES  \* MERGEFORMAT </w:instrText>
    </w:r>
    <w:r w:rsidR="00567C04">
      <w:fldChar w:fldCharType="separate"/>
    </w:r>
    <w:r w:rsidR="00567C04">
      <w:instrText>4</w:instrText>
    </w:r>
    <w:r w:rsidR="00567C04">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567C04">
      <w:instrText>4</w:instrText>
    </w:r>
    <w:r w:rsidR="004332CC" w:rsidRPr="005218C8">
      <w:fldChar w:fldCharType="end"/>
    </w:r>
    <w:r w:rsidR="004332CC" w:rsidRPr="005218C8">
      <w:instrText>/</w:instrText>
    </w:r>
    <w:r w:rsidR="00567C04">
      <w:fldChar w:fldCharType="begin"/>
    </w:r>
    <w:r w:rsidR="00567C04">
      <w:instrText xml:space="preserve"> NUMPAGES  \* MERGEFORMAT </w:instrText>
    </w:r>
    <w:r w:rsidR="00567C04">
      <w:fldChar w:fldCharType="separate"/>
    </w:r>
    <w:r w:rsidR="00567C04">
      <w:instrText>4</w:instrText>
    </w:r>
    <w:r w:rsidR="00567C04">
      <w:fldChar w:fldCharType="end"/>
    </w:r>
    <w:r w:rsidR="004332CC" w:rsidRPr="005218C8">
      <w:instrText>" "</w:instrText>
    </w:r>
    <w:r w:rsidR="004332CC" w:rsidRPr="005218C8">
      <w:fldChar w:fldCharType="separate"/>
    </w:r>
    <w:r w:rsidR="00567C04">
      <w:t>4</w:t>
    </w:r>
    <w:r w:rsidR="00567C04" w:rsidRPr="005218C8">
      <w:t>/</w:t>
    </w:r>
    <w:r w:rsidR="00567C04">
      <w:t>4</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A72037" w14:textId="77777777" w:rsidR="00B143FE" w:rsidRPr="005218C8" w:rsidRDefault="0046016C" w:rsidP="005218C8">
    <w:pPr>
      <w:pStyle w:val="Kopfzeile"/>
    </w:pPr>
    <w:r>
      <mc:AlternateContent>
        <mc:Choice Requires="wps">
          <w:drawing>
            <wp:anchor distT="0" distB="0" distL="0" distR="0" simplePos="0" relativeHeight="251695104"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567C04">
      <w:fldChar w:fldCharType="begin"/>
    </w:r>
    <w:r w:rsidR="00567C04">
      <w:instrText xml:space="preserve"> NUMPAGES  \* MERGEFORMAT </w:instrText>
    </w:r>
    <w:r w:rsidR="00567C04">
      <w:fldChar w:fldCharType="separate"/>
    </w:r>
    <w:r w:rsidR="00955C3D">
      <w:instrText>4</w:instrText>
    </w:r>
    <w:r w:rsidR="00567C04">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567C04">
      <w:fldChar w:fldCharType="begin"/>
    </w:r>
    <w:r w:rsidR="00567C04">
      <w:instrText xml:space="preserve"> NUMPAGES  \* MERGEFORMAT </w:instrText>
    </w:r>
    <w:r w:rsidR="00567C04">
      <w:fldChar w:fldCharType="separate"/>
    </w:r>
    <w:r w:rsidR="00955C3D">
      <w:instrText>4</w:instrText>
    </w:r>
    <w:r w:rsidR="00567C04">
      <w:fldChar w:fldCharType="end"/>
    </w:r>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E11CF7" w14:textId="77777777" w:rsidR="00450679" w:rsidRDefault="00450679" w:rsidP="00D9165E">
      <w:r>
        <w:separator/>
      </w:r>
    </w:p>
  </w:footnote>
  <w:footnote w:type="continuationSeparator" w:id="0">
    <w:p w14:paraId="258D9956" w14:textId="77777777" w:rsidR="00450679" w:rsidRDefault="00450679"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94080"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1758D" w:rsidRDefault="00D516DF" w:rsidP="00D516DF">
                          <w:pPr>
                            <w:pStyle w:val="Adresszeileoben"/>
                            <w:rPr>
                              <w:color w:val="525F6B" w:themeColor="text1"/>
                              <w:szCs w:val="14"/>
                              <w:lang w:val="en-US"/>
                            </w:rPr>
                          </w:pPr>
                          <w:r w:rsidRPr="0041758D">
                            <w:rPr>
                              <w:color w:val="525F6B" w:themeColor="text1"/>
                              <w:szCs w:val="14"/>
                              <w:lang w:val="en-US"/>
                            </w:rPr>
                            <w:t>56410 Montabaur</w:t>
                          </w:r>
                        </w:p>
                        <w:p w14:paraId="15C0BE15" w14:textId="77777777" w:rsidR="00D516DF" w:rsidRPr="0041758D" w:rsidRDefault="00D516DF" w:rsidP="00D516DF">
                          <w:pPr>
                            <w:pStyle w:val="Adresszeileoben"/>
                            <w:rPr>
                              <w:color w:val="525F6B" w:themeColor="text1"/>
                              <w:szCs w:val="14"/>
                              <w:lang w:val="en-US"/>
                            </w:rPr>
                          </w:pPr>
                          <w:r w:rsidRPr="0041758D">
                            <w:rPr>
                              <w:color w:val="525F6B" w:themeColor="text1"/>
                              <w:szCs w:val="14"/>
                              <w:lang w:val="en-US"/>
                            </w:rPr>
                            <w:t>Germany</w:t>
                          </w:r>
                        </w:p>
                        <w:p w14:paraId="1E48FB81" w14:textId="77777777" w:rsidR="00D516DF" w:rsidRPr="0041758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1758D" w:rsidRDefault="00D516DF" w:rsidP="00D516DF">
                    <w:pPr>
                      <w:pStyle w:val="Adresszeileoben"/>
                      <w:rPr>
                        <w:color w:val="525F6B" w:themeColor="text1"/>
                        <w:szCs w:val="14"/>
                        <w:lang w:val="en-US"/>
                      </w:rPr>
                    </w:pPr>
                    <w:r w:rsidRPr="0041758D">
                      <w:rPr>
                        <w:color w:val="525F6B" w:themeColor="text1"/>
                        <w:szCs w:val="14"/>
                        <w:lang w:val="en-US"/>
                      </w:rPr>
                      <w:t>56410 Montabaur</w:t>
                    </w:r>
                  </w:p>
                  <w:p w14:paraId="15C0BE15" w14:textId="77777777" w:rsidR="00D516DF" w:rsidRPr="0041758D" w:rsidRDefault="00D516DF" w:rsidP="00D516DF">
                    <w:pPr>
                      <w:pStyle w:val="Adresszeileoben"/>
                      <w:rPr>
                        <w:color w:val="525F6B" w:themeColor="text1"/>
                        <w:szCs w:val="14"/>
                        <w:lang w:val="en-US"/>
                      </w:rPr>
                    </w:pPr>
                    <w:r w:rsidRPr="0041758D">
                      <w:rPr>
                        <w:color w:val="525F6B" w:themeColor="text1"/>
                        <w:szCs w:val="14"/>
                        <w:lang w:val="en-US"/>
                      </w:rPr>
                      <w:t>Germany</w:t>
                    </w:r>
                  </w:p>
                  <w:p w14:paraId="1E48FB81" w14:textId="77777777" w:rsidR="00D516DF" w:rsidRPr="0041758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92032"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82816"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39C"/>
    <w:rsid w:val="000122C9"/>
    <w:rsid w:val="000137F9"/>
    <w:rsid w:val="00013B23"/>
    <w:rsid w:val="000148A8"/>
    <w:rsid w:val="00015F92"/>
    <w:rsid w:val="0002273A"/>
    <w:rsid w:val="00026B8C"/>
    <w:rsid w:val="00030020"/>
    <w:rsid w:val="00030C1A"/>
    <w:rsid w:val="0003543C"/>
    <w:rsid w:val="00036336"/>
    <w:rsid w:val="00037BB3"/>
    <w:rsid w:val="00037FF7"/>
    <w:rsid w:val="00040DD7"/>
    <w:rsid w:val="00040FEA"/>
    <w:rsid w:val="0004140A"/>
    <w:rsid w:val="000436AB"/>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043"/>
    <w:rsid w:val="000D7B94"/>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1F1"/>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063C"/>
    <w:rsid w:val="00176D8A"/>
    <w:rsid w:val="0018098D"/>
    <w:rsid w:val="00180D0F"/>
    <w:rsid w:val="0018503B"/>
    <w:rsid w:val="001877A6"/>
    <w:rsid w:val="001935AE"/>
    <w:rsid w:val="00194AC6"/>
    <w:rsid w:val="00197009"/>
    <w:rsid w:val="001A297C"/>
    <w:rsid w:val="001A5B15"/>
    <w:rsid w:val="001A65EE"/>
    <w:rsid w:val="001B661E"/>
    <w:rsid w:val="001C0A26"/>
    <w:rsid w:val="001C0A39"/>
    <w:rsid w:val="001C5EB3"/>
    <w:rsid w:val="001D0887"/>
    <w:rsid w:val="001D0F2E"/>
    <w:rsid w:val="001D4D6D"/>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09A9"/>
    <w:rsid w:val="00231A54"/>
    <w:rsid w:val="0023563A"/>
    <w:rsid w:val="00243F9B"/>
    <w:rsid w:val="00252189"/>
    <w:rsid w:val="0025441C"/>
    <w:rsid w:val="002567E0"/>
    <w:rsid w:val="0026127D"/>
    <w:rsid w:val="002655A1"/>
    <w:rsid w:val="002714A1"/>
    <w:rsid w:val="002717A8"/>
    <w:rsid w:val="00275350"/>
    <w:rsid w:val="00280819"/>
    <w:rsid w:val="00282680"/>
    <w:rsid w:val="00282B82"/>
    <w:rsid w:val="00284C18"/>
    <w:rsid w:val="00292501"/>
    <w:rsid w:val="00294020"/>
    <w:rsid w:val="00294B59"/>
    <w:rsid w:val="00296AD3"/>
    <w:rsid w:val="002A1286"/>
    <w:rsid w:val="002A1717"/>
    <w:rsid w:val="002A172B"/>
    <w:rsid w:val="002A3138"/>
    <w:rsid w:val="002A47F4"/>
    <w:rsid w:val="002A49F2"/>
    <w:rsid w:val="002A5671"/>
    <w:rsid w:val="002A5D25"/>
    <w:rsid w:val="002A639F"/>
    <w:rsid w:val="002A6794"/>
    <w:rsid w:val="002B06E7"/>
    <w:rsid w:val="002B18CE"/>
    <w:rsid w:val="002B71FB"/>
    <w:rsid w:val="002C00EB"/>
    <w:rsid w:val="002C0163"/>
    <w:rsid w:val="002C5677"/>
    <w:rsid w:val="002D0F47"/>
    <w:rsid w:val="002D2E6A"/>
    <w:rsid w:val="002D33B7"/>
    <w:rsid w:val="002D4939"/>
    <w:rsid w:val="002D506A"/>
    <w:rsid w:val="002D60E0"/>
    <w:rsid w:val="002D7EB6"/>
    <w:rsid w:val="002E1B3C"/>
    <w:rsid w:val="002E2125"/>
    <w:rsid w:val="002E74C6"/>
    <w:rsid w:val="002F6BF1"/>
    <w:rsid w:val="002F7140"/>
    <w:rsid w:val="0030067C"/>
    <w:rsid w:val="00302DB1"/>
    <w:rsid w:val="003035A6"/>
    <w:rsid w:val="00306032"/>
    <w:rsid w:val="00330683"/>
    <w:rsid w:val="00333CF4"/>
    <w:rsid w:val="00335617"/>
    <w:rsid w:val="00335790"/>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A046C"/>
    <w:rsid w:val="003A2989"/>
    <w:rsid w:val="003A692D"/>
    <w:rsid w:val="003B0692"/>
    <w:rsid w:val="003B160B"/>
    <w:rsid w:val="003B1684"/>
    <w:rsid w:val="003C492A"/>
    <w:rsid w:val="003C60F4"/>
    <w:rsid w:val="003C6E41"/>
    <w:rsid w:val="003D50EB"/>
    <w:rsid w:val="003D770A"/>
    <w:rsid w:val="003E06FE"/>
    <w:rsid w:val="003E5B52"/>
    <w:rsid w:val="003E738F"/>
    <w:rsid w:val="003E7CF8"/>
    <w:rsid w:val="003F0CD8"/>
    <w:rsid w:val="003F1873"/>
    <w:rsid w:val="003F2E2D"/>
    <w:rsid w:val="003F4A4D"/>
    <w:rsid w:val="00400793"/>
    <w:rsid w:val="00402949"/>
    <w:rsid w:val="00402AD2"/>
    <w:rsid w:val="0040381F"/>
    <w:rsid w:val="00404174"/>
    <w:rsid w:val="0040784F"/>
    <w:rsid w:val="00407CD3"/>
    <w:rsid w:val="0041758D"/>
    <w:rsid w:val="00424A3C"/>
    <w:rsid w:val="004332CC"/>
    <w:rsid w:val="0043346C"/>
    <w:rsid w:val="004370EF"/>
    <w:rsid w:val="004400ED"/>
    <w:rsid w:val="004404FF"/>
    <w:rsid w:val="004427AF"/>
    <w:rsid w:val="00450174"/>
    <w:rsid w:val="00450679"/>
    <w:rsid w:val="00450D7A"/>
    <w:rsid w:val="00451CA7"/>
    <w:rsid w:val="004535D9"/>
    <w:rsid w:val="00455402"/>
    <w:rsid w:val="00456256"/>
    <w:rsid w:val="0046016C"/>
    <w:rsid w:val="004606AC"/>
    <w:rsid w:val="0046201D"/>
    <w:rsid w:val="004628D5"/>
    <w:rsid w:val="00462DDC"/>
    <w:rsid w:val="0046538C"/>
    <w:rsid w:val="004667BA"/>
    <w:rsid w:val="00466954"/>
    <w:rsid w:val="00467800"/>
    <w:rsid w:val="00470EFD"/>
    <w:rsid w:val="00473AEC"/>
    <w:rsid w:val="00476060"/>
    <w:rsid w:val="004762B9"/>
    <w:rsid w:val="0047652B"/>
    <w:rsid w:val="00476746"/>
    <w:rsid w:val="00477801"/>
    <w:rsid w:val="0048606D"/>
    <w:rsid w:val="00486F5D"/>
    <w:rsid w:val="00490516"/>
    <w:rsid w:val="00494EE7"/>
    <w:rsid w:val="004A3A5F"/>
    <w:rsid w:val="004B3D7E"/>
    <w:rsid w:val="004C6169"/>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1CF4"/>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277"/>
    <w:rsid w:val="005673B5"/>
    <w:rsid w:val="005674E8"/>
    <w:rsid w:val="00567C04"/>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C80"/>
    <w:rsid w:val="005A27D0"/>
    <w:rsid w:val="005B01C4"/>
    <w:rsid w:val="005B184A"/>
    <w:rsid w:val="005B19FD"/>
    <w:rsid w:val="005B34DA"/>
    <w:rsid w:val="005B3CCD"/>
    <w:rsid w:val="005C0C24"/>
    <w:rsid w:val="005C13A1"/>
    <w:rsid w:val="005D1745"/>
    <w:rsid w:val="005D1F94"/>
    <w:rsid w:val="005D3A5C"/>
    <w:rsid w:val="005D5830"/>
    <w:rsid w:val="005D5940"/>
    <w:rsid w:val="005D5A38"/>
    <w:rsid w:val="005D5CD4"/>
    <w:rsid w:val="005D6A17"/>
    <w:rsid w:val="005E041B"/>
    <w:rsid w:val="005E200B"/>
    <w:rsid w:val="005E48F0"/>
    <w:rsid w:val="005E7038"/>
    <w:rsid w:val="005F010B"/>
    <w:rsid w:val="005F182E"/>
    <w:rsid w:val="005F3A93"/>
    <w:rsid w:val="005F4FBF"/>
    <w:rsid w:val="005F7CEF"/>
    <w:rsid w:val="00602E06"/>
    <w:rsid w:val="00603C18"/>
    <w:rsid w:val="006074EB"/>
    <w:rsid w:val="0060792D"/>
    <w:rsid w:val="006117A1"/>
    <w:rsid w:val="00614890"/>
    <w:rsid w:val="00615ED0"/>
    <w:rsid w:val="00617EA4"/>
    <w:rsid w:val="00626A28"/>
    <w:rsid w:val="00627189"/>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27F3"/>
    <w:rsid w:val="00683E9E"/>
    <w:rsid w:val="0068636E"/>
    <w:rsid w:val="00691B0A"/>
    <w:rsid w:val="00691F9E"/>
    <w:rsid w:val="00695F99"/>
    <w:rsid w:val="006A04EC"/>
    <w:rsid w:val="006A26D4"/>
    <w:rsid w:val="006A569E"/>
    <w:rsid w:val="006A5A75"/>
    <w:rsid w:val="006A6348"/>
    <w:rsid w:val="006A688E"/>
    <w:rsid w:val="006A799D"/>
    <w:rsid w:val="006B0F1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0982"/>
    <w:rsid w:val="00753908"/>
    <w:rsid w:val="00754739"/>
    <w:rsid w:val="007579FC"/>
    <w:rsid w:val="00762C5B"/>
    <w:rsid w:val="00771469"/>
    <w:rsid w:val="00771B5D"/>
    <w:rsid w:val="00772BCD"/>
    <w:rsid w:val="00773BF3"/>
    <w:rsid w:val="00774E88"/>
    <w:rsid w:val="00775358"/>
    <w:rsid w:val="007769A8"/>
    <w:rsid w:val="0078405F"/>
    <w:rsid w:val="0078480F"/>
    <w:rsid w:val="00786C56"/>
    <w:rsid w:val="0078778D"/>
    <w:rsid w:val="00794234"/>
    <w:rsid w:val="007A0268"/>
    <w:rsid w:val="007A6FE9"/>
    <w:rsid w:val="007A7F56"/>
    <w:rsid w:val="007B7828"/>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0DD4"/>
    <w:rsid w:val="00814018"/>
    <w:rsid w:val="00814940"/>
    <w:rsid w:val="00814951"/>
    <w:rsid w:val="00816302"/>
    <w:rsid w:val="00817EDB"/>
    <w:rsid w:val="00821292"/>
    <w:rsid w:val="00823EBA"/>
    <w:rsid w:val="00825029"/>
    <w:rsid w:val="00826567"/>
    <w:rsid w:val="00826C30"/>
    <w:rsid w:val="00827948"/>
    <w:rsid w:val="00834D0F"/>
    <w:rsid w:val="0084627F"/>
    <w:rsid w:val="0085354B"/>
    <w:rsid w:val="0085432F"/>
    <w:rsid w:val="00857E8E"/>
    <w:rsid w:val="00860315"/>
    <w:rsid w:val="008649EE"/>
    <w:rsid w:val="00866CA8"/>
    <w:rsid w:val="00867770"/>
    <w:rsid w:val="00873697"/>
    <w:rsid w:val="00874C03"/>
    <w:rsid w:val="008761F6"/>
    <w:rsid w:val="00876DD1"/>
    <w:rsid w:val="008856CC"/>
    <w:rsid w:val="0088695A"/>
    <w:rsid w:val="00890887"/>
    <w:rsid w:val="00890E39"/>
    <w:rsid w:val="00891292"/>
    <w:rsid w:val="00894C9F"/>
    <w:rsid w:val="008968A0"/>
    <w:rsid w:val="00897E2C"/>
    <w:rsid w:val="008A2326"/>
    <w:rsid w:val="008A41C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6AEA"/>
    <w:rsid w:val="008D7BC0"/>
    <w:rsid w:val="008E1D8F"/>
    <w:rsid w:val="008E2C54"/>
    <w:rsid w:val="008E5F87"/>
    <w:rsid w:val="008E7656"/>
    <w:rsid w:val="008E777A"/>
    <w:rsid w:val="008F4796"/>
    <w:rsid w:val="008F5E48"/>
    <w:rsid w:val="00901D5D"/>
    <w:rsid w:val="00902358"/>
    <w:rsid w:val="00905B45"/>
    <w:rsid w:val="009119CE"/>
    <w:rsid w:val="00915251"/>
    <w:rsid w:val="009163C0"/>
    <w:rsid w:val="00920438"/>
    <w:rsid w:val="00921CF1"/>
    <w:rsid w:val="00924CB3"/>
    <w:rsid w:val="0092544D"/>
    <w:rsid w:val="00925F7D"/>
    <w:rsid w:val="00931A39"/>
    <w:rsid w:val="0093254F"/>
    <w:rsid w:val="00932FC9"/>
    <w:rsid w:val="00933393"/>
    <w:rsid w:val="009339B1"/>
    <w:rsid w:val="00933B86"/>
    <w:rsid w:val="00940128"/>
    <w:rsid w:val="00944105"/>
    <w:rsid w:val="00944A84"/>
    <w:rsid w:val="00945089"/>
    <w:rsid w:val="0095095D"/>
    <w:rsid w:val="009527FF"/>
    <w:rsid w:val="009547D1"/>
    <w:rsid w:val="00955C3D"/>
    <w:rsid w:val="009633E0"/>
    <w:rsid w:val="00965F78"/>
    <w:rsid w:val="00967AD9"/>
    <w:rsid w:val="00972120"/>
    <w:rsid w:val="00972EBA"/>
    <w:rsid w:val="00974ACB"/>
    <w:rsid w:val="00976EEA"/>
    <w:rsid w:val="00980499"/>
    <w:rsid w:val="009863DF"/>
    <w:rsid w:val="00991E0E"/>
    <w:rsid w:val="00992423"/>
    <w:rsid w:val="009959BC"/>
    <w:rsid w:val="009977B8"/>
    <w:rsid w:val="009A306C"/>
    <w:rsid w:val="009A351B"/>
    <w:rsid w:val="009A454E"/>
    <w:rsid w:val="009A7B8B"/>
    <w:rsid w:val="009B2D9D"/>
    <w:rsid w:val="009B5337"/>
    <w:rsid w:val="009C0868"/>
    <w:rsid w:val="009C1F30"/>
    <w:rsid w:val="009C33EF"/>
    <w:rsid w:val="009C3C81"/>
    <w:rsid w:val="009D0715"/>
    <w:rsid w:val="009D229B"/>
    <w:rsid w:val="009D2DBA"/>
    <w:rsid w:val="009D62BE"/>
    <w:rsid w:val="009E4826"/>
    <w:rsid w:val="009E664B"/>
    <w:rsid w:val="009F18FC"/>
    <w:rsid w:val="009F21D0"/>
    <w:rsid w:val="009F252D"/>
    <w:rsid w:val="009F4360"/>
    <w:rsid w:val="009F5FB8"/>
    <w:rsid w:val="009F6743"/>
    <w:rsid w:val="00A00F8D"/>
    <w:rsid w:val="00A03D1A"/>
    <w:rsid w:val="00A050D1"/>
    <w:rsid w:val="00A06101"/>
    <w:rsid w:val="00A16BD5"/>
    <w:rsid w:val="00A1711B"/>
    <w:rsid w:val="00A17FBB"/>
    <w:rsid w:val="00A20A01"/>
    <w:rsid w:val="00A21AB0"/>
    <w:rsid w:val="00A2544A"/>
    <w:rsid w:val="00A27EFC"/>
    <w:rsid w:val="00A31DB8"/>
    <w:rsid w:val="00A36FE0"/>
    <w:rsid w:val="00A40E17"/>
    <w:rsid w:val="00A461EF"/>
    <w:rsid w:val="00A46F54"/>
    <w:rsid w:val="00A562F7"/>
    <w:rsid w:val="00A5700C"/>
    <w:rsid w:val="00A57063"/>
    <w:rsid w:val="00A624FA"/>
    <w:rsid w:val="00A65AE5"/>
    <w:rsid w:val="00A70A5F"/>
    <w:rsid w:val="00A81731"/>
    <w:rsid w:val="00A82F57"/>
    <w:rsid w:val="00A873A1"/>
    <w:rsid w:val="00A9208D"/>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D3753"/>
    <w:rsid w:val="00AD7E8E"/>
    <w:rsid w:val="00AE0CC8"/>
    <w:rsid w:val="00AE2AA7"/>
    <w:rsid w:val="00AE447F"/>
    <w:rsid w:val="00AE5481"/>
    <w:rsid w:val="00AE5695"/>
    <w:rsid w:val="00AE7869"/>
    <w:rsid w:val="00AF13BD"/>
    <w:rsid w:val="00AF4F8B"/>
    <w:rsid w:val="00AF50E0"/>
    <w:rsid w:val="00AF5371"/>
    <w:rsid w:val="00B030B8"/>
    <w:rsid w:val="00B07278"/>
    <w:rsid w:val="00B117C4"/>
    <w:rsid w:val="00B117D1"/>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766"/>
    <w:rsid w:val="00B639BB"/>
    <w:rsid w:val="00B63B39"/>
    <w:rsid w:val="00B67227"/>
    <w:rsid w:val="00B67ADF"/>
    <w:rsid w:val="00B74EEC"/>
    <w:rsid w:val="00B75BE3"/>
    <w:rsid w:val="00B76AC4"/>
    <w:rsid w:val="00B779F2"/>
    <w:rsid w:val="00B77DFE"/>
    <w:rsid w:val="00B8014D"/>
    <w:rsid w:val="00B827AD"/>
    <w:rsid w:val="00B84070"/>
    <w:rsid w:val="00B85361"/>
    <w:rsid w:val="00B90801"/>
    <w:rsid w:val="00B95A5D"/>
    <w:rsid w:val="00B965A1"/>
    <w:rsid w:val="00B966C9"/>
    <w:rsid w:val="00BA105F"/>
    <w:rsid w:val="00BA38A7"/>
    <w:rsid w:val="00BA49C1"/>
    <w:rsid w:val="00BB6D1A"/>
    <w:rsid w:val="00BC0CC5"/>
    <w:rsid w:val="00BC12DE"/>
    <w:rsid w:val="00BC159C"/>
    <w:rsid w:val="00BC4EAF"/>
    <w:rsid w:val="00BD1BE0"/>
    <w:rsid w:val="00BD1C30"/>
    <w:rsid w:val="00BD37F9"/>
    <w:rsid w:val="00BD410D"/>
    <w:rsid w:val="00BD6FDE"/>
    <w:rsid w:val="00BD7267"/>
    <w:rsid w:val="00BD7772"/>
    <w:rsid w:val="00BE2D16"/>
    <w:rsid w:val="00BE3832"/>
    <w:rsid w:val="00BE4FEB"/>
    <w:rsid w:val="00BF26AF"/>
    <w:rsid w:val="00BF30AD"/>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1D1E"/>
    <w:rsid w:val="00C85B1A"/>
    <w:rsid w:val="00C877B9"/>
    <w:rsid w:val="00C915A2"/>
    <w:rsid w:val="00C953F1"/>
    <w:rsid w:val="00C956CF"/>
    <w:rsid w:val="00C95E8E"/>
    <w:rsid w:val="00C963C9"/>
    <w:rsid w:val="00CA2C80"/>
    <w:rsid w:val="00CA59A1"/>
    <w:rsid w:val="00CB1E91"/>
    <w:rsid w:val="00CB725A"/>
    <w:rsid w:val="00CC2F84"/>
    <w:rsid w:val="00CC32A6"/>
    <w:rsid w:val="00CC49F4"/>
    <w:rsid w:val="00CD2BC2"/>
    <w:rsid w:val="00CD5D15"/>
    <w:rsid w:val="00CD6F05"/>
    <w:rsid w:val="00CE04CF"/>
    <w:rsid w:val="00CE68CF"/>
    <w:rsid w:val="00CE6C34"/>
    <w:rsid w:val="00CE71C0"/>
    <w:rsid w:val="00CF1F9D"/>
    <w:rsid w:val="00CF25A9"/>
    <w:rsid w:val="00CF34DB"/>
    <w:rsid w:val="00CF5472"/>
    <w:rsid w:val="00D00FC4"/>
    <w:rsid w:val="00D04131"/>
    <w:rsid w:val="00D04A4C"/>
    <w:rsid w:val="00D0567D"/>
    <w:rsid w:val="00D06D68"/>
    <w:rsid w:val="00D1136F"/>
    <w:rsid w:val="00D16D90"/>
    <w:rsid w:val="00D24C4F"/>
    <w:rsid w:val="00D26132"/>
    <w:rsid w:val="00D2759C"/>
    <w:rsid w:val="00D317D4"/>
    <w:rsid w:val="00D34986"/>
    <w:rsid w:val="00D36FC5"/>
    <w:rsid w:val="00D4098D"/>
    <w:rsid w:val="00D44B55"/>
    <w:rsid w:val="00D4535E"/>
    <w:rsid w:val="00D45CE9"/>
    <w:rsid w:val="00D516DF"/>
    <w:rsid w:val="00D51AA6"/>
    <w:rsid w:val="00D63FF3"/>
    <w:rsid w:val="00D65157"/>
    <w:rsid w:val="00D6698C"/>
    <w:rsid w:val="00D7185B"/>
    <w:rsid w:val="00D80509"/>
    <w:rsid w:val="00D854A6"/>
    <w:rsid w:val="00D85B9B"/>
    <w:rsid w:val="00D861BB"/>
    <w:rsid w:val="00D86880"/>
    <w:rsid w:val="00D86DD5"/>
    <w:rsid w:val="00D9165E"/>
    <w:rsid w:val="00DB1452"/>
    <w:rsid w:val="00DB4EA2"/>
    <w:rsid w:val="00DB74F9"/>
    <w:rsid w:val="00DC2C62"/>
    <w:rsid w:val="00DC443F"/>
    <w:rsid w:val="00DC7857"/>
    <w:rsid w:val="00DD0BF1"/>
    <w:rsid w:val="00DD1673"/>
    <w:rsid w:val="00DD30AE"/>
    <w:rsid w:val="00DD520D"/>
    <w:rsid w:val="00DD5EA5"/>
    <w:rsid w:val="00DD64E3"/>
    <w:rsid w:val="00DD6B3F"/>
    <w:rsid w:val="00DD7101"/>
    <w:rsid w:val="00DE0E6D"/>
    <w:rsid w:val="00DE446F"/>
    <w:rsid w:val="00DE5FF1"/>
    <w:rsid w:val="00DE6965"/>
    <w:rsid w:val="00DE6E13"/>
    <w:rsid w:val="00DF0E39"/>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1114"/>
    <w:rsid w:val="00E23A3C"/>
    <w:rsid w:val="00E24CD8"/>
    <w:rsid w:val="00E27430"/>
    <w:rsid w:val="00E4280B"/>
    <w:rsid w:val="00E42C3C"/>
    <w:rsid w:val="00E43141"/>
    <w:rsid w:val="00E43913"/>
    <w:rsid w:val="00E45906"/>
    <w:rsid w:val="00E465E8"/>
    <w:rsid w:val="00E5583D"/>
    <w:rsid w:val="00E55F88"/>
    <w:rsid w:val="00E56B97"/>
    <w:rsid w:val="00E6101F"/>
    <w:rsid w:val="00E61555"/>
    <w:rsid w:val="00E61C72"/>
    <w:rsid w:val="00E61CEB"/>
    <w:rsid w:val="00E710F1"/>
    <w:rsid w:val="00E72AB0"/>
    <w:rsid w:val="00E732A0"/>
    <w:rsid w:val="00E746F0"/>
    <w:rsid w:val="00E74FCE"/>
    <w:rsid w:val="00E756EB"/>
    <w:rsid w:val="00E80572"/>
    <w:rsid w:val="00E8196D"/>
    <w:rsid w:val="00E84AA4"/>
    <w:rsid w:val="00E86CB8"/>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4F67"/>
    <w:rsid w:val="00EC5CAB"/>
    <w:rsid w:val="00EC6F6F"/>
    <w:rsid w:val="00EC742B"/>
    <w:rsid w:val="00EC7DCA"/>
    <w:rsid w:val="00ED54C6"/>
    <w:rsid w:val="00ED608F"/>
    <w:rsid w:val="00ED6237"/>
    <w:rsid w:val="00ED7DB5"/>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578B0"/>
    <w:rsid w:val="00F6135B"/>
    <w:rsid w:val="00F63B99"/>
    <w:rsid w:val="00F6489E"/>
    <w:rsid w:val="00F64D13"/>
    <w:rsid w:val="00F7077A"/>
    <w:rsid w:val="00F7227E"/>
    <w:rsid w:val="00F73F1D"/>
    <w:rsid w:val="00F748A2"/>
    <w:rsid w:val="00F809A0"/>
    <w:rsid w:val="00F8163B"/>
    <w:rsid w:val="00F830E4"/>
    <w:rsid w:val="00F90178"/>
    <w:rsid w:val="00F91A06"/>
    <w:rsid w:val="00F972DB"/>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F0DF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character" w:styleId="BesuchterLink">
    <w:name w:val="FollowedHyperlink"/>
    <w:basedOn w:val="Absatz-Standardschriftart"/>
    <w:uiPriority w:val="99"/>
    <w:semiHidden/>
    <w:unhideWhenUsed/>
    <w:rsid w:val="00603C18"/>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itacsoftware.com/de/media/analysten-reports/gartner-repor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www.itacsoftware.com/" TargetMode="External"/><Relationship Id="rId17" Type="http://schemas.openxmlformats.org/officeDocument/2006/relationships/hyperlink" Target="mailto:pr@punctum-pr.de" TargetMode="External"/><Relationship Id="rId2" Type="http://schemas.openxmlformats.org/officeDocument/2006/relationships/customXml" Target="../customXml/item2.xml"/><Relationship Id="rId16" Type="http://schemas.openxmlformats.org/officeDocument/2006/relationships/hyperlink" Target="mailto:"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alina.leber@itacsoftware.co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8" ma:contentTypeDescription="Ein neues Dokument erstellen." ma:contentTypeScope="" ma:versionID="67b597d4dcb98e9d2e5a13b6d77af68e">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3245365b09332ddd2d8204a3fd5ca4b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2.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3.xml><?xml version="1.0" encoding="utf-8"?>
<ds:datastoreItem xmlns:ds="http://schemas.openxmlformats.org/officeDocument/2006/customXml" ds:itemID="{918B5FF8-00A8-46F6-A564-D6AB1EFF10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5.xml><?xml version="1.0" encoding="utf-8"?>
<ds:datastoreItem xmlns:ds="http://schemas.openxmlformats.org/officeDocument/2006/customXml" ds:itemID="{920C2912-B36B-4248-A384-60EBE44EFC1A}">
  <ds:schemaRefs>
    <ds:schemaRef ds:uri="http://www.w3.org/XML/1998/namespace"/>
    <ds:schemaRef ds:uri="http://purl.org/dc/dcmitype/"/>
    <ds:schemaRef ds:uri="1fd25297-4a44-48f6-a73a-63e14abf2a03"/>
    <ds:schemaRef ds:uri="http://purl.org/dc/elements/1.1/"/>
    <ds:schemaRef ds:uri="http://schemas.microsoft.com/office/2006/documentManagement/types"/>
    <ds:schemaRef ds:uri="http://schemas.microsoft.com/office/infopath/2007/PartnerControls"/>
    <ds:schemaRef ds:uri="849beaea-35c0-4d6b-b4fc-1b944a259c2c"/>
    <ds:schemaRef ds:uri="http://schemas.microsoft.com/office/2006/metadata/properties"/>
    <ds:schemaRef ds:uri="http://schemas.openxmlformats.org/package/2006/metadata/core-properties"/>
    <ds:schemaRef ds:uri="090eb7cb-ca7c-4623-84e8-0d4e47704505"/>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2742</Words>
  <Characters>3402</Characters>
  <Application>Microsoft Office Word</Application>
  <DocSecurity>0</DocSecurity>
  <Lines>154</Lines>
  <Paragraphs>99</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6045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DE</dc:subject>
  <dc:creator>punctum pr</dc:creator>
  <cp:keywords>Rev 06-2024</cp:keywords>
  <dc:description/>
  <cp:lastModifiedBy>Alina Leber</cp:lastModifiedBy>
  <cp:revision>4</cp:revision>
  <cp:lastPrinted>2024-04-16T11:16:00Z</cp:lastPrinted>
  <dcterms:created xsi:type="dcterms:W3CDTF">2024-08-05T08:47:00Z</dcterms:created>
  <dcterms:modified xsi:type="dcterms:W3CDTF">2024-08-05T11:42:00Z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